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37" w:rsidRPr="006014C2" w:rsidRDefault="00CF41DC" w:rsidP="00CF41DC">
      <w:pPr>
        <w:jc w:val="center"/>
        <w:rPr>
          <w:rFonts w:ascii="Garamond" w:hAnsi="Garamond"/>
          <w:b/>
          <w:sz w:val="28"/>
          <w:szCs w:val="28"/>
        </w:rPr>
      </w:pPr>
      <w:bookmarkStart w:id="0" w:name="_GoBack"/>
      <w:r w:rsidRPr="006014C2">
        <w:rPr>
          <w:rFonts w:ascii="Garamond" w:hAnsi="Garamond"/>
          <w:b/>
          <w:sz w:val="28"/>
          <w:szCs w:val="28"/>
        </w:rPr>
        <w:t>Pointing a Gun, Excessive Force and the Fourth Amendment</w:t>
      </w:r>
    </w:p>
    <w:bookmarkEnd w:id="0"/>
    <w:p w:rsidR="00CF41DC" w:rsidRPr="006014C2" w:rsidRDefault="004C6DCC" w:rsidP="004C6DCC">
      <w:pPr>
        <w:spacing w:after="0" w:line="240" w:lineRule="auto"/>
        <w:rPr>
          <w:rFonts w:ascii="Garamond" w:hAnsi="Garamond"/>
          <w:color w:val="000000"/>
          <w:sz w:val="24"/>
          <w:szCs w:val="24"/>
        </w:rPr>
      </w:pPr>
      <w:r w:rsidRPr="006014C2">
        <w:rPr>
          <w:rFonts w:ascii="Garamond" w:hAnsi="Garamond"/>
          <w:color w:val="000000"/>
          <w:sz w:val="24"/>
          <w:szCs w:val="24"/>
        </w:rPr>
        <w:tab/>
      </w:r>
      <w:r w:rsidR="00CF41DC" w:rsidRPr="006014C2">
        <w:rPr>
          <w:rFonts w:ascii="Garamond" w:hAnsi="Garamond"/>
          <w:color w:val="000000"/>
          <w:sz w:val="24"/>
          <w:szCs w:val="24"/>
        </w:rPr>
        <w:t xml:space="preserve">Can simply pointing a gun at persons located at the scene of a search warrant be considered excessive force? The Seventh Circuit Court of Appeals had to answer that very question in </w:t>
      </w:r>
      <w:r w:rsidR="00CF41DC" w:rsidRPr="006014C2">
        <w:rPr>
          <w:rFonts w:ascii="Garamond" w:hAnsi="Garamond"/>
          <w:iCs/>
          <w:color w:val="000000"/>
          <w:sz w:val="24"/>
          <w:szCs w:val="24"/>
          <w:u w:val="single"/>
        </w:rPr>
        <w:t>Baird v. Renbarger</w:t>
      </w:r>
      <w:r w:rsidR="00E622AE" w:rsidRPr="006014C2">
        <w:rPr>
          <w:rFonts w:ascii="Garamond" w:hAnsi="Garamond"/>
          <w:color w:val="0000FF"/>
          <w:sz w:val="24"/>
          <w:szCs w:val="24"/>
        </w:rPr>
        <w:t>.</w:t>
      </w:r>
      <w:r w:rsidR="00E622AE" w:rsidRPr="006014C2">
        <w:rPr>
          <w:rStyle w:val="FootnoteReference"/>
          <w:rFonts w:ascii="Garamond" w:hAnsi="Garamond"/>
          <w:color w:val="0000FF"/>
          <w:sz w:val="24"/>
          <w:szCs w:val="24"/>
          <w:u w:val="single"/>
        </w:rPr>
        <w:footnoteReference w:id="1"/>
      </w:r>
      <w:r w:rsidR="00CF41DC" w:rsidRPr="006014C2">
        <w:rPr>
          <w:rFonts w:ascii="Garamond" w:hAnsi="Garamond"/>
          <w:i/>
          <w:iCs/>
          <w:color w:val="000000"/>
          <w:sz w:val="24"/>
          <w:szCs w:val="24"/>
        </w:rPr>
        <w:t xml:space="preserve"> </w:t>
      </w:r>
      <w:r w:rsidR="00CF41DC" w:rsidRPr="006014C2">
        <w:rPr>
          <w:rFonts w:ascii="Garamond" w:hAnsi="Garamond"/>
          <w:color w:val="000000"/>
          <w:sz w:val="24"/>
          <w:szCs w:val="24"/>
        </w:rPr>
        <w:t xml:space="preserve">In this case, an officer with the Shelbyville Police Department was dispatched to Baird’s automobile shop to conduct a VIN verification on a vehicle owned by Baird. The officer verified the VIN, although he believed it had been altered. </w:t>
      </w:r>
    </w:p>
    <w:p w:rsidR="004C6DCC" w:rsidRPr="006014C2" w:rsidRDefault="004C6DCC" w:rsidP="004C6DCC">
      <w:pPr>
        <w:spacing w:after="0" w:line="240" w:lineRule="auto"/>
        <w:rPr>
          <w:rFonts w:ascii="Garamond" w:hAnsi="Garamond"/>
          <w:color w:val="000000"/>
          <w:sz w:val="24"/>
          <w:szCs w:val="24"/>
        </w:rPr>
      </w:pPr>
    </w:p>
    <w:p w:rsidR="00CF41DC" w:rsidRPr="006014C2" w:rsidRDefault="004C6DCC" w:rsidP="004C6DCC">
      <w:pPr>
        <w:spacing w:after="0" w:line="240" w:lineRule="auto"/>
        <w:rPr>
          <w:rFonts w:ascii="Garamond" w:hAnsi="Garamond"/>
          <w:color w:val="000000"/>
          <w:sz w:val="24"/>
          <w:szCs w:val="24"/>
        </w:rPr>
      </w:pPr>
      <w:r w:rsidRPr="006014C2">
        <w:rPr>
          <w:rFonts w:ascii="Garamond" w:hAnsi="Garamond"/>
          <w:color w:val="000000"/>
          <w:sz w:val="24"/>
          <w:szCs w:val="24"/>
        </w:rPr>
        <w:tab/>
      </w:r>
      <w:r w:rsidR="00CF41DC" w:rsidRPr="006014C2">
        <w:rPr>
          <w:rFonts w:ascii="Garamond" w:hAnsi="Garamond"/>
          <w:color w:val="000000"/>
          <w:sz w:val="24"/>
          <w:szCs w:val="24"/>
        </w:rPr>
        <w:t xml:space="preserve">When the officer returned to the police station, he obtained a search warrant for the vehicle to further examine the VIN. Then next day, he and two other Shelbyville police officers, two Indianapolis police officers and an investigator from the National Insurance Crime Bureau (NICB) went to Baird’s shop to execute the search warrant. Officer Renbarger from the Shelbyville Police Department carried a 9mm submachine gun during the execution of the search warrant. </w:t>
      </w:r>
    </w:p>
    <w:p w:rsidR="004C6DCC" w:rsidRPr="006014C2" w:rsidRDefault="004C6DCC" w:rsidP="004C6DCC">
      <w:pPr>
        <w:spacing w:after="0" w:line="240" w:lineRule="auto"/>
        <w:rPr>
          <w:rFonts w:ascii="Garamond" w:hAnsi="Garamond"/>
          <w:color w:val="000000"/>
          <w:sz w:val="24"/>
          <w:szCs w:val="24"/>
        </w:rPr>
      </w:pPr>
    </w:p>
    <w:p w:rsidR="00CF41DC" w:rsidRPr="006014C2" w:rsidRDefault="004C6DCC" w:rsidP="004C6DCC">
      <w:pPr>
        <w:spacing w:after="0" w:line="240" w:lineRule="auto"/>
        <w:rPr>
          <w:rFonts w:ascii="Garamond" w:hAnsi="Garamond"/>
          <w:color w:val="000000"/>
          <w:sz w:val="24"/>
          <w:szCs w:val="24"/>
        </w:rPr>
      </w:pPr>
      <w:r w:rsidRPr="006014C2">
        <w:rPr>
          <w:rFonts w:ascii="Garamond" w:hAnsi="Garamond"/>
          <w:color w:val="000000"/>
          <w:sz w:val="24"/>
          <w:szCs w:val="24"/>
        </w:rPr>
        <w:tab/>
      </w:r>
      <w:r w:rsidR="00CF41DC" w:rsidRPr="006014C2">
        <w:rPr>
          <w:rFonts w:ascii="Garamond" w:hAnsi="Garamond"/>
          <w:color w:val="000000"/>
          <w:sz w:val="24"/>
          <w:szCs w:val="24"/>
        </w:rPr>
        <w:t xml:space="preserve">When the officers entered the shop, Officer Renbarger, pointing his submachine gun, ordered everyone to the center of the building and had them sit on the floor. He then went into some surrounding shops and a warehouse and had the occupants, including a group of Amish men, join the others. Everyone was completely compliant. </w:t>
      </w:r>
      <w:r w:rsidR="00E622AE" w:rsidRPr="006014C2">
        <w:rPr>
          <w:rStyle w:val="FootnoteReference"/>
          <w:rFonts w:ascii="Garamond" w:hAnsi="Garamond"/>
          <w:color w:val="000000"/>
          <w:sz w:val="24"/>
          <w:szCs w:val="24"/>
        </w:rPr>
        <w:footnoteReference w:id="2"/>
      </w:r>
    </w:p>
    <w:p w:rsidR="004C6DCC" w:rsidRPr="006014C2" w:rsidRDefault="004C6DCC" w:rsidP="004C6DCC">
      <w:pPr>
        <w:spacing w:after="0" w:line="240" w:lineRule="auto"/>
        <w:rPr>
          <w:rFonts w:ascii="Garamond" w:hAnsi="Garamond"/>
          <w:color w:val="000000"/>
          <w:sz w:val="24"/>
          <w:szCs w:val="24"/>
        </w:rPr>
      </w:pPr>
    </w:p>
    <w:p w:rsidR="00CF41DC" w:rsidRPr="006014C2" w:rsidRDefault="004C6DCC" w:rsidP="004C6DCC">
      <w:pPr>
        <w:spacing w:after="0" w:line="240" w:lineRule="auto"/>
        <w:rPr>
          <w:rFonts w:ascii="Garamond" w:hAnsi="Garamond"/>
          <w:color w:val="000000"/>
          <w:sz w:val="24"/>
          <w:szCs w:val="24"/>
        </w:rPr>
      </w:pPr>
      <w:r w:rsidRPr="006014C2">
        <w:rPr>
          <w:rFonts w:ascii="Garamond" w:hAnsi="Garamond"/>
          <w:color w:val="000000"/>
          <w:sz w:val="24"/>
          <w:szCs w:val="24"/>
        </w:rPr>
        <w:tab/>
      </w:r>
      <w:r w:rsidR="00CF41DC" w:rsidRPr="006014C2">
        <w:rPr>
          <w:rFonts w:ascii="Garamond" w:hAnsi="Garamond"/>
          <w:color w:val="000000"/>
          <w:sz w:val="24"/>
          <w:szCs w:val="24"/>
        </w:rPr>
        <w:t>When the officer’s located the car at issue, the NICB investigator examined the VIN and determined that it had not been altered. Everyone was released and the officers left the scene.</w:t>
      </w:r>
    </w:p>
    <w:p w:rsidR="00CF41DC" w:rsidRPr="006014C2" w:rsidRDefault="00CF41DC" w:rsidP="004C6DCC">
      <w:pPr>
        <w:spacing w:after="0" w:line="240" w:lineRule="auto"/>
        <w:rPr>
          <w:rFonts w:ascii="Garamond" w:hAnsi="Garamond"/>
          <w:color w:val="000000"/>
          <w:sz w:val="24"/>
          <w:szCs w:val="24"/>
        </w:rPr>
      </w:pPr>
      <w:r w:rsidRPr="006014C2">
        <w:rPr>
          <w:rFonts w:ascii="Garamond" w:hAnsi="Garamond"/>
          <w:color w:val="000000"/>
          <w:sz w:val="24"/>
          <w:szCs w:val="24"/>
        </w:rPr>
        <w:t>Baird, and others at the scene, filed suit against Officer Renbarger for violating their Fourth Amendment right to be free from unreasonable seizures, in other words, excessive force. The district court found that it was “objectively unreasonable for Officer Renbarger to round up and detain the individuals in Joe Baird’s shop by aiming a submachine gun at them.”</w:t>
      </w:r>
      <w:bookmarkStart w:id="1" w:name="_ednref2"/>
      <w:r w:rsidRPr="006014C2">
        <w:rPr>
          <w:rFonts w:ascii="Garamond" w:hAnsi="Garamond"/>
          <w:color w:val="000000"/>
          <w:sz w:val="24"/>
          <w:szCs w:val="24"/>
        </w:rPr>
        <w:fldChar w:fldCharType="begin"/>
      </w:r>
      <w:r w:rsidRPr="006014C2">
        <w:rPr>
          <w:rFonts w:ascii="Garamond" w:hAnsi="Garamond"/>
          <w:color w:val="000000"/>
          <w:sz w:val="24"/>
          <w:szCs w:val="24"/>
        </w:rPr>
        <w:instrText xml:space="preserve"> HYPERLINK "http://www.llrmi.com/articles/legal_update/7th_pointing_gun.shtml" \l "_edn2" \o "" </w:instrText>
      </w:r>
      <w:r w:rsidR="00E622AE" w:rsidRPr="006014C2">
        <w:rPr>
          <w:rFonts w:ascii="Garamond" w:hAnsi="Garamond"/>
          <w:color w:val="000000"/>
          <w:sz w:val="24"/>
          <w:szCs w:val="24"/>
        </w:rPr>
      </w:r>
      <w:r w:rsidRPr="006014C2">
        <w:rPr>
          <w:rFonts w:ascii="Garamond" w:hAnsi="Garamond"/>
          <w:color w:val="000000"/>
          <w:sz w:val="24"/>
          <w:szCs w:val="24"/>
        </w:rPr>
        <w:fldChar w:fldCharType="separate"/>
      </w:r>
      <w:r w:rsidRPr="006014C2">
        <w:rPr>
          <w:rFonts w:ascii="Garamond" w:hAnsi="Garamond"/>
          <w:color w:val="0000FF"/>
          <w:sz w:val="24"/>
          <w:szCs w:val="24"/>
          <w:u w:val="single"/>
        </w:rPr>
        <w:t xml:space="preserve"> </w:t>
      </w:r>
      <w:r w:rsidRPr="006014C2">
        <w:rPr>
          <w:rFonts w:ascii="Garamond" w:hAnsi="Garamond"/>
          <w:color w:val="000000"/>
          <w:sz w:val="24"/>
          <w:szCs w:val="24"/>
        </w:rPr>
        <w:fldChar w:fldCharType="end"/>
      </w:r>
      <w:bookmarkEnd w:id="1"/>
      <w:r w:rsidRPr="006014C2">
        <w:rPr>
          <w:rFonts w:ascii="Garamond" w:hAnsi="Garamond"/>
          <w:color w:val="000000"/>
          <w:sz w:val="24"/>
          <w:szCs w:val="24"/>
        </w:rPr>
        <w:t>The officer appealed to the Seventh Circuit Court of Appeals.</w:t>
      </w:r>
      <w:r w:rsidR="004C6DCC" w:rsidRPr="006014C2">
        <w:rPr>
          <w:rFonts w:ascii="Garamond" w:hAnsi="Garamond"/>
          <w:color w:val="000000"/>
          <w:sz w:val="24"/>
          <w:szCs w:val="24"/>
        </w:rPr>
        <w:tab/>
      </w:r>
    </w:p>
    <w:p w:rsidR="004C6DCC" w:rsidRPr="006014C2" w:rsidRDefault="004C6DCC" w:rsidP="004C6DCC">
      <w:pPr>
        <w:spacing w:after="0" w:line="240" w:lineRule="auto"/>
        <w:rPr>
          <w:rFonts w:ascii="Garamond" w:hAnsi="Garamond"/>
          <w:color w:val="000000"/>
          <w:sz w:val="24"/>
          <w:szCs w:val="24"/>
        </w:rPr>
      </w:pPr>
    </w:p>
    <w:p w:rsidR="00CF41DC" w:rsidRPr="006014C2" w:rsidRDefault="004C6DCC" w:rsidP="004C6DCC">
      <w:pPr>
        <w:spacing w:after="0" w:line="240" w:lineRule="auto"/>
        <w:rPr>
          <w:rFonts w:ascii="Garamond" w:hAnsi="Garamond"/>
          <w:color w:val="000000"/>
          <w:sz w:val="24"/>
          <w:szCs w:val="24"/>
        </w:rPr>
      </w:pPr>
      <w:r w:rsidRPr="006014C2">
        <w:rPr>
          <w:rFonts w:ascii="Garamond" w:hAnsi="Garamond"/>
          <w:color w:val="000000"/>
          <w:sz w:val="24"/>
          <w:szCs w:val="24"/>
        </w:rPr>
        <w:tab/>
      </w:r>
      <w:r w:rsidR="00CF41DC" w:rsidRPr="006014C2">
        <w:rPr>
          <w:rFonts w:ascii="Garamond" w:hAnsi="Garamond"/>
          <w:color w:val="000000"/>
          <w:sz w:val="24"/>
          <w:szCs w:val="24"/>
        </w:rPr>
        <w:t xml:space="preserve">The issue before the Seventh Circuit was </w:t>
      </w:r>
      <w:r w:rsidR="00CF41DC" w:rsidRPr="006014C2">
        <w:rPr>
          <w:rFonts w:ascii="Garamond" w:hAnsi="Garamond"/>
          <w:i/>
          <w:iCs/>
          <w:color w:val="000000"/>
          <w:sz w:val="24"/>
          <w:szCs w:val="24"/>
        </w:rPr>
        <w:t>whether it was objectively unreasonable to seize and the individuals in and around Baird’s shop by pointing a submachine gun at them.</w:t>
      </w:r>
      <w:r w:rsidR="00CF41DC" w:rsidRPr="006014C2">
        <w:rPr>
          <w:rFonts w:ascii="Garamond" w:hAnsi="Garamond"/>
          <w:color w:val="000000"/>
          <w:sz w:val="24"/>
          <w:szCs w:val="24"/>
        </w:rPr>
        <w:t xml:space="preserve"> </w:t>
      </w:r>
    </w:p>
    <w:p w:rsidR="00CF41DC" w:rsidRPr="006014C2" w:rsidRDefault="00CF41DC" w:rsidP="004C6DCC">
      <w:pPr>
        <w:spacing w:after="0" w:line="240" w:lineRule="auto"/>
        <w:rPr>
          <w:rFonts w:ascii="Garamond" w:hAnsi="Garamond"/>
          <w:color w:val="000000"/>
          <w:sz w:val="24"/>
          <w:szCs w:val="24"/>
        </w:rPr>
      </w:pPr>
      <w:r w:rsidRPr="006014C2">
        <w:rPr>
          <w:rFonts w:ascii="Garamond" w:hAnsi="Garamond"/>
          <w:color w:val="000000"/>
          <w:sz w:val="24"/>
          <w:szCs w:val="24"/>
        </w:rPr>
        <w:t xml:space="preserve">The lead United States Supreme Court case regarding whether a particular use of force is objectively reasonable is </w:t>
      </w:r>
      <w:r w:rsidRPr="006014C2">
        <w:rPr>
          <w:rFonts w:ascii="Garamond" w:hAnsi="Garamond"/>
          <w:iCs/>
          <w:color w:val="000000"/>
          <w:sz w:val="24"/>
          <w:szCs w:val="24"/>
          <w:u w:val="single"/>
        </w:rPr>
        <w:t>Graham v. Connor</w:t>
      </w:r>
      <w:bookmarkStart w:id="2" w:name="_ednref3"/>
      <w:r w:rsidR="00E622AE" w:rsidRPr="006014C2">
        <w:rPr>
          <w:rFonts w:ascii="Garamond" w:hAnsi="Garamond"/>
          <w:color w:val="000000"/>
          <w:sz w:val="24"/>
          <w:szCs w:val="24"/>
        </w:rPr>
        <w:t>.</w:t>
      </w:r>
      <w:r w:rsidR="00E622AE" w:rsidRPr="006014C2">
        <w:rPr>
          <w:rStyle w:val="FootnoteReference"/>
          <w:rFonts w:ascii="Garamond" w:hAnsi="Garamond"/>
          <w:color w:val="000000"/>
          <w:sz w:val="24"/>
          <w:szCs w:val="24"/>
        </w:rPr>
        <w:footnoteReference w:id="3"/>
      </w:r>
      <w:r w:rsidRPr="006014C2">
        <w:rPr>
          <w:rFonts w:ascii="Garamond" w:hAnsi="Garamond"/>
          <w:color w:val="000000"/>
          <w:sz w:val="24"/>
          <w:szCs w:val="24"/>
        </w:rPr>
        <w:t xml:space="preserve"> </w:t>
      </w:r>
      <w:bookmarkEnd w:id="2"/>
      <w:r w:rsidRPr="006014C2">
        <w:rPr>
          <w:rFonts w:ascii="Garamond" w:hAnsi="Garamond"/>
          <w:color w:val="000000"/>
          <w:sz w:val="24"/>
          <w:szCs w:val="24"/>
        </w:rPr>
        <w:t>In Graham, the court stated that there are three factors that should be considered when evaluating whether a use of force was “objectively reasonable.” The three factors are as follows:</w:t>
      </w:r>
    </w:p>
    <w:p w:rsidR="004C6DCC" w:rsidRPr="006014C2" w:rsidRDefault="004C6DCC" w:rsidP="004C6DCC">
      <w:pPr>
        <w:spacing w:after="0" w:line="240" w:lineRule="auto"/>
        <w:rPr>
          <w:rFonts w:ascii="Garamond" w:hAnsi="Garamond"/>
          <w:color w:val="000000"/>
          <w:sz w:val="24"/>
          <w:szCs w:val="24"/>
        </w:rPr>
      </w:pPr>
    </w:p>
    <w:p w:rsidR="00CF41DC" w:rsidRPr="006014C2" w:rsidRDefault="00CF41DC" w:rsidP="004C6DCC">
      <w:pPr>
        <w:numPr>
          <w:ilvl w:val="0"/>
          <w:numId w:val="1"/>
        </w:numPr>
        <w:spacing w:after="0" w:line="240" w:lineRule="auto"/>
        <w:rPr>
          <w:rFonts w:ascii="Garamond" w:hAnsi="Garamond"/>
          <w:color w:val="000000"/>
          <w:sz w:val="24"/>
          <w:szCs w:val="24"/>
        </w:rPr>
      </w:pPr>
      <w:r w:rsidRPr="006014C2">
        <w:rPr>
          <w:rFonts w:ascii="Garamond" w:hAnsi="Garamond"/>
          <w:color w:val="000000"/>
          <w:sz w:val="24"/>
          <w:szCs w:val="24"/>
        </w:rPr>
        <w:t>The severity of the crime at issue;</w:t>
      </w:r>
    </w:p>
    <w:p w:rsidR="00CF41DC" w:rsidRPr="006014C2" w:rsidRDefault="00CF41DC" w:rsidP="004C6DCC">
      <w:pPr>
        <w:numPr>
          <w:ilvl w:val="0"/>
          <w:numId w:val="1"/>
        </w:numPr>
        <w:spacing w:after="0" w:line="240" w:lineRule="auto"/>
        <w:rPr>
          <w:rFonts w:ascii="Garamond" w:hAnsi="Garamond"/>
          <w:color w:val="000000"/>
          <w:sz w:val="24"/>
          <w:szCs w:val="24"/>
        </w:rPr>
      </w:pPr>
      <w:r w:rsidRPr="006014C2">
        <w:rPr>
          <w:rFonts w:ascii="Garamond" w:hAnsi="Garamond"/>
          <w:color w:val="000000"/>
          <w:sz w:val="24"/>
          <w:szCs w:val="24"/>
        </w:rPr>
        <w:t xml:space="preserve">Whether the suspect poses an immediate threat to the safety of the officers or others; and </w:t>
      </w:r>
    </w:p>
    <w:p w:rsidR="00CF41DC" w:rsidRPr="006014C2" w:rsidRDefault="00CF41DC" w:rsidP="004C6DCC">
      <w:pPr>
        <w:numPr>
          <w:ilvl w:val="0"/>
          <w:numId w:val="1"/>
        </w:numPr>
        <w:spacing w:after="0" w:line="240" w:lineRule="auto"/>
        <w:rPr>
          <w:rFonts w:ascii="Garamond" w:hAnsi="Garamond"/>
          <w:color w:val="000000"/>
          <w:sz w:val="24"/>
          <w:szCs w:val="24"/>
        </w:rPr>
      </w:pPr>
      <w:r w:rsidRPr="006014C2">
        <w:rPr>
          <w:rFonts w:ascii="Garamond" w:hAnsi="Garamond"/>
          <w:color w:val="000000"/>
          <w:sz w:val="24"/>
          <w:szCs w:val="24"/>
        </w:rPr>
        <w:t>Whether the suspect is actively resisting arrest or attempting to evade arrest by flight.</w:t>
      </w:r>
    </w:p>
    <w:p w:rsidR="004C6DCC" w:rsidRPr="006014C2" w:rsidRDefault="004C6DCC" w:rsidP="004C6DCC">
      <w:pPr>
        <w:spacing w:after="0" w:line="240" w:lineRule="auto"/>
        <w:ind w:left="720"/>
        <w:rPr>
          <w:rFonts w:ascii="Garamond" w:hAnsi="Garamond"/>
          <w:color w:val="000000"/>
          <w:sz w:val="24"/>
          <w:szCs w:val="24"/>
        </w:rPr>
      </w:pPr>
    </w:p>
    <w:p w:rsidR="00CF41DC" w:rsidRPr="006014C2" w:rsidRDefault="004C6DCC" w:rsidP="004C6DCC">
      <w:pPr>
        <w:spacing w:after="0" w:line="240" w:lineRule="auto"/>
        <w:rPr>
          <w:rFonts w:ascii="Garamond" w:hAnsi="Garamond"/>
          <w:color w:val="000000"/>
          <w:sz w:val="24"/>
          <w:szCs w:val="24"/>
        </w:rPr>
      </w:pPr>
      <w:r w:rsidRPr="006014C2">
        <w:rPr>
          <w:rFonts w:ascii="Garamond" w:hAnsi="Garamond"/>
          <w:color w:val="000000"/>
          <w:sz w:val="24"/>
          <w:szCs w:val="24"/>
        </w:rPr>
        <w:tab/>
      </w:r>
      <w:r w:rsidR="00CF41DC" w:rsidRPr="006014C2">
        <w:rPr>
          <w:rFonts w:ascii="Garamond" w:hAnsi="Garamond"/>
          <w:color w:val="000000"/>
          <w:sz w:val="24"/>
          <w:szCs w:val="24"/>
        </w:rPr>
        <w:t xml:space="preserve">The Seventh Circuit Court of Appeals then applied the facts of Baird’s case to the three factors from </w:t>
      </w:r>
      <w:r w:rsidR="00CF41DC" w:rsidRPr="006014C2">
        <w:rPr>
          <w:rFonts w:ascii="Garamond" w:hAnsi="Garamond"/>
          <w:i/>
          <w:iCs/>
          <w:color w:val="000000"/>
          <w:sz w:val="24"/>
          <w:szCs w:val="24"/>
        </w:rPr>
        <w:t>Graham</w:t>
      </w:r>
      <w:r w:rsidR="00CF41DC" w:rsidRPr="006014C2">
        <w:rPr>
          <w:rFonts w:ascii="Garamond" w:hAnsi="Garamond"/>
          <w:color w:val="000000"/>
          <w:sz w:val="24"/>
          <w:szCs w:val="24"/>
        </w:rPr>
        <w:t xml:space="preserve">. First, the court noted that the crime at issue, particularly altering a VIN, is a non-violent crime. The court stated “this is a far cry from crimes that contain the use of force as an </w:t>
      </w:r>
      <w:r w:rsidR="00CF41DC" w:rsidRPr="006014C2">
        <w:rPr>
          <w:rFonts w:ascii="Garamond" w:hAnsi="Garamond"/>
          <w:color w:val="000000"/>
          <w:sz w:val="24"/>
          <w:szCs w:val="24"/>
        </w:rPr>
        <w:lastRenderedPageBreak/>
        <w:t>element, crimes involving the possession of illegal weapons, or drug crimes, all of which are associated with violence.”</w:t>
      </w:r>
    </w:p>
    <w:p w:rsidR="004C6DCC" w:rsidRPr="006014C2" w:rsidRDefault="004C6DCC" w:rsidP="004C6DCC">
      <w:pPr>
        <w:spacing w:after="0" w:line="240" w:lineRule="auto"/>
        <w:rPr>
          <w:rFonts w:ascii="Garamond" w:hAnsi="Garamond"/>
          <w:color w:val="000000"/>
          <w:sz w:val="24"/>
          <w:szCs w:val="24"/>
        </w:rPr>
      </w:pPr>
    </w:p>
    <w:p w:rsidR="00CF41DC" w:rsidRPr="006014C2" w:rsidRDefault="004C6DCC" w:rsidP="004C6DCC">
      <w:pPr>
        <w:spacing w:after="0" w:line="240" w:lineRule="auto"/>
        <w:rPr>
          <w:rFonts w:ascii="Garamond" w:hAnsi="Garamond"/>
          <w:color w:val="000000"/>
          <w:sz w:val="24"/>
          <w:szCs w:val="24"/>
        </w:rPr>
      </w:pPr>
      <w:r w:rsidRPr="006014C2">
        <w:rPr>
          <w:rFonts w:ascii="Garamond" w:hAnsi="Garamond"/>
          <w:color w:val="000000"/>
          <w:sz w:val="24"/>
          <w:szCs w:val="24"/>
        </w:rPr>
        <w:tab/>
      </w:r>
      <w:r w:rsidR="00CF41DC" w:rsidRPr="006014C2">
        <w:rPr>
          <w:rFonts w:ascii="Garamond" w:hAnsi="Garamond"/>
          <w:color w:val="000000"/>
          <w:sz w:val="24"/>
          <w:szCs w:val="24"/>
        </w:rPr>
        <w:t xml:space="preserve">As to the second factor from Graham, the court said that there was no reason to suspect that there was a threat to the officers involved. The court noted that officers had been at that location before and they made no mention of any suspected danger posed by the suspects. Additionally, there was no reason articulated to suspect that any of the subjects were known to be armed or dangerous. </w:t>
      </w:r>
    </w:p>
    <w:p w:rsidR="004C6DCC" w:rsidRPr="006014C2" w:rsidRDefault="004C6DCC" w:rsidP="004C6DCC">
      <w:pPr>
        <w:spacing w:after="0" w:line="240" w:lineRule="auto"/>
        <w:rPr>
          <w:rFonts w:ascii="Garamond" w:hAnsi="Garamond"/>
          <w:color w:val="000000"/>
          <w:sz w:val="24"/>
          <w:szCs w:val="24"/>
        </w:rPr>
      </w:pPr>
    </w:p>
    <w:p w:rsidR="00CF41DC" w:rsidRPr="006014C2" w:rsidRDefault="004C6DCC" w:rsidP="004C6DCC">
      <w:pPr>
        <w:spacing w:after="0" w:line="240" w:lineRule="auto"/>
        <w:rPr>
          <w:rFonts w:ascii="Garamond" w:hAnsi="Garamond"/>
          <w:color w:val="0000FF"/>
          <w:sz w:val="24"/>
          <w:szCs w:val="24"/>
        </w:rPr>
      </w:pPr>
      <w:r w:rsidRPr="006014C2">
        <w:rPr>
          <w:rFonts w:ascii="Garamond" w:hAnsi="Garamond"/>
          <w:color w:val="000000"/>
          <w:sz w:val="24"/>
          <w:szCs w:val="24"/>
        </w:rPr>
        <w:tab/>
      </w:r>
      <w:r w:rsidR="00CF41DC" w:rsidRPr="006014C2">
        <w:rPr>
          <w:rFonts w:ascii="Garamond" w:hAnsi="Garamond"/>
          <w:color w:val="000000"/>
          <w:sz w:val="24"/>
          <w:szCs w:val="24"/>
        </w:rPr>
        <w:t xml:space="preserve">As to the third factor from </w:t>
      </w:r>
      <w:r w:rsidR="00CF41DC" w:rsidRPr="006014C2">
        <w:rPr>
          <w:rFonts w:ascii="Garamond" w:hAnsi="Garamond"/>
          <w:i/>
          <w:iCs/>
          <w:color w:val="000000"/>
          <w:sz w:val="24"/>
          <w:szCs w:val="24"/>
        </w:rPr>
        <w:t>Graham</w:t>
      </w:r>
      <w:r w:rsidR="00CF41DC" w:rsidRPr="006014C2">
        <w:rPr>
          <w:rFonts w:ascii="Garamond" w:hAnsi="Garamond"/>
          <w:color w:val="000000"/>
          <w:sz w:val="24"/>
          <w:szCs w:val="24"/>
        </w:rPr>
        <w:t>, the court noted that none of the suspects resisted d</w:t>
      </w:r>
      <w:r w:rsidRPr="006014C2">
        <w:rPr>
          <w:rFonts w:ascii="Garamond" w:hAnsi="Garamond"/>
          <w:color w:val="000000"/>
          <w:sz w:val="24"/>
          <w:szCs w:val="24"/>
        </w:rPr>
        <w:t xml:space="preserve">etention or attempted to flee. </w:t>
      </w:r>
      <w:r w:rsidR="00CF41DC" w:rsidRPr="006014C2">
        <w:rPr>
          <w:rFonts w:ascii="Garamond" w:hAnsi="Garamond"/>
          <w:color w:val="000000"/>
          <w:sz w:val="24"/>
          <w:szCs w:val="24"/>
        </w:rPr>
        <w:t>Officer Renbarger argued that there was the potential for danger because he did not know the identities of all those on the scene and that he was outnumbered. However, the court stated “[the officer’s] subjective concerns do not transform this setting into one calling for su</w:t>
      </w:r>
      <w:bookmarkStart w:id="3" w:name="_ednref6"/>
      <w:r w:rsidR="00E622AE" w:rsidRPr="006014C2">
        <w:rPr>
          <w:rFonts w:ascii="Garamond" w:hAnsi="Garamond"/>
          <w:color w:val="000000"/>
          <w:sz w:val="24"/>
          <w:szCs w:val="24"/>
        </w:rPr>
        <w:t>ch a heavy-handed use of force.</w:t>
      </w:r>
      <w:bookmarkEnd w:id="3"/>
      <w:r w:rsidR="00E622AE" w:rsidRPr="006014C2">
        <w:rPr>
          <w:rFonts w:ascii="Garamond" w:hAnsi="Garamond"/>
          <w:color w:val="0000FF"/>
          <w:sz w:val="24"/>
          <w:szCs w:val="24"/>
        </w:rPr>
        <w:t>”</w:t>
      </w:r>
    </w:p>
    <w:p w:rsidR="004C6DCC" w:rsidRPr="006014C2" w:rsidRDefault="004C6DCC" w:rsidP="004C6DCC">
      <w:pPr>
        <w:spacing w:after="0" w:line="240" w:lineRule="auto"/>
        <w:rPr>
          <w:rFonts w:ascii="Garamond" w:hAnsi="Garamond"/>
          <w:color w:val="000000"/>
          <w:sz w:val="24"/>
          <w:szCs w:val="24"/>
        </w:rPr>
      </w:pPr>
    </w:p>
    <w:p w:rsidR="00CF41DC" w:rsidRPr="006014C2" w:rsidRDefault="004C6DCC" w:rsidP="004C6DCC">
      <w:pPr>
        <w:spacing w:after="0" w:line="240" w:lineRule="auto"/>
        <w:rPr>
          <w:rFonts w:ascii="Garamond" w:hAnsi="Garamond"/>
          <w:color w:val="000000"/>
          <w:sz w:val="24"/>
          <w:szCs w:val="24"/>
        </w:rPr>
      </w:pPr>
      <w:r w:rsidRPr="006014C2">
        <w:rPr>
          <w:rFonts w:ascii="Garamond" w:hAnsi="Garamond"/>
          <w:color w:val="000000"/>
          <w:sz w:val="24"/>
          <w:szCs w:val="24"/>
        </w:rPr>
        <w:tab/>
      </w:r>
      <w:r w:rsidR="00CF41DC" w:rsidRPr="006014C2">
        <w:rPr>
          <w:rFonts w:ascii="Garamond" w:hAnsi="Garamond"/>
          <w:color w:val="000000"/>
          <w:sz w:val="24"/>
          <w:szCs w:val="24"/>
        </w:rPr>
        <w:t xml:space="preserve">The Seventh Circuit Court of Appeals then examined some of their precedent involving the pointing of guns. In </w:t>
      </w:r>
      <w:r w:rsidR="00CF41DC" w:rsidRPr="006014C2">
        <w:rPr>
          <w:rFonts w:ascii="Garamond" w:hAnsi="Garamond"/>
          <w:iCs/>
          <w:color w:val="000000"/>
          <w:sz w:val="24"/>
          <w:szCs w:val="24"/>
          <w:u w:val="single"/>
        </w:rPr>
        <w:t>Jacobs v. City of Chicago</w:t>
      </w:r>
      <w:r w:rsidR="00CF41DC" w:rsidRPr="006014C2">
        <w:rPr>
          <w:rFonts w:ascii="Garamond" w:hAnsi="Garamond"/>
          <w:color w:val="000000"/>
          <w:sz w:val="24"/>
          <w:szCs w:val="24"/>
        </w:rPr>
        <w:t>,</w:t>
      </w:r>
      <w:r w:rsidR="00E622AE" w:rsidRPr="006014C2">
        <w:rPr>
          <w:rStyle w:val="FootnoteReference"/>
          <w:rFonts w:ascii="Garamond" w:hAnsi="Garamond"/>
          <w:color w:val="000000"/>
          <w:sz w:val="24"/>
          <w:szCs w:val="24"/>
        </w:rPr>
        <w:footnoteReference w:id="4"/>
      </w:r>
      <w:r w:rsidR="00CF41DC" w:rsidRPr="006014C2">
        <w:rPr>
          <w:rFonts w:ascii="Garamond" w:hAnsi="Garamond"/>
          <w:color w:val="000000"/>
          <w:sz w:val="24"/>
          <w:szCs w:val="24"/>
        </w:rPr>
        <w:t xml:space="preserve"> the court held that pointing a gun at an elderly man’s head for ten minutes after realizing that he was not the subject of their investigation and after the man offered no resistance was disproportionate to any danger the man presented to the officers or the community.</w:t>
      </w:r>
      <w:bookmarkStart w:id="4" w:name="_ednref7"/>
      <w:r w:rsidR="00CF41DC" w:rsidRPr="006014C2">
        <w:rPr>
          <w:rFonts w:ascii="Garamond" w:hAnsi="Garamond"/>
          <w:color w:val="000000"/>
          <w:sz w:val="24"/>
          <w:szCs w:val="24"/>
        </w:rPr>
        <w:fldChar w:fldCharType="begin"/>
      </w:r>
      <w:r w:rsidR="00CF41DC" w:rsidRPr="006014C2">
        <w:rPr>
          <w:rFonts w:ascii="Garamond" w:hAnsi="Garamond"/>
          <w:color w:val="000000"/>
          <w:sz w:val="24"/>
          <w:szCs w:val="24"/>
        </w:rPr>
        <w:instrText xml:space="preserve"> HYPERLINK "http://www.llrmi.com/articles/legal_update/7th_pointing_gun.shtml" \l "_edn7" \o "" </w:instrText>
      </w:r>
      <w:r w:rsidR="00E622AE" w:rsidRPr="006014C2">
        <w:rPr>
          <w:rFonts w:ascii="Garamond" w:hAnsi="Garamond"/>
          <w:color w:val="000000"/>
          <w:sz w:val="24"/>
          <w:szCs w:val="24"/>
        </w:rPr>
      </w:r>
      <w:r w:rsidR="00CF41DC" w:rsidRPr="006014C2">
        <w:rPr>
          <w:rFonts w:ascii="Garamond" w:hAnsi="Garamond"/>
          <w:color w:val="000000"/>
          <w:sz w:val="24"/>
          <w:szCs w:val="24"/>
        </w:rPr>
        <w:fldChar w:fldCharType="separate"/>
      </w:r>
      <w:r w:rsidR="00CF41DC" w:rsidRPr="006014C2">
        <w:rPr>
          <w:rFonts w:ascii="Garamond" w:hAnsi="Garamond"/>
          <w:color w:val="0000FF"/>
          <w:sz w:val="24"/>
          <w:szCs w:val="24"/>
          <w:u w:val="single"/>
        </w:rPr>
        <w:t xml:space="preserve"> </w:t>
      </w:r>
      <w:r w:rsidR="00CF41DC" w:rsidRPr="006014C2">
        <w:rPr>
          <w:rFonts w:ascii="Garamond" w:hAnsi="Garamond"/>
          <w:color w:val="000000"/>
          <w:sz w:val="24"/>
          <w:szCs w:val="24"/>
        </w:rPr>
        <w:fldChar w:fldCharType="end"/>
      </w:r>
      <w:bookmarkEnd w:id="4"/>
      <w:r w:rsidR="00CF41DC" w:rsidRPr="006014C2">
        <w:rPr>
          <w:rFonts w:ascii="Garamond" w:hAnsi="Garamond"/>
          <w:color w:val="000000"/>
          <w:sz w:val="24"/>
          <w:szCs w:val="24"/>
        </w:rPr>
        <w:t xml:space="preserve">Additionally, in </w:t>
      </w:r>
      <w:r w:rsidR="00CF41DC" w:rsidRPr="006014C2">
        <w:rPr>
          <w:rFonts w:ascii="Garamond" w:hAnsi="Garamond"/>
          <w:iCs/>
          <w:color w:val="000000"/>
          <w:sz w:val="24"/>
          <w:szCs w:val="24"/>
          <w:u w:val="single"/>
        </w:rPr>
        <w:t>McDonald v. Haskins</w:t>
      </w:r>
      <w:r w:rsidR="00CF41DC" w:rsidRPr="006014C2">
        <w:rPr>
          <w:rFonts w:ascii="Garamond" w:hAnsi="Garamond"/>
          <w:color w:val="000000"/>
          <w:sz w:val="24"/>
          <w:szCs w:val="24"/>
        </w:rPr>
        <w:t>,</w:t>
      </w:r>
      <w:r w:rsidR="00E622AE" w:rsidRPr="006014C2">
        <w:rPr>
          <w:rStyle w:val="FootnoteReference"/>
          <w:rFonts w:ascii="Garamond" w:hAnsi="Garamond"/>
          <w:color w:val="000000"/>
          <w:sz w:val="24"/>
          <w:szCs w:val="24"/>
        </w:rPr>
        <w:footnoteReference w:id="5"/>
      </w:r>
      <w:r w:rsidR="00CF41DC" w:rsidRPr="006014C2">
        <w:rPr>
          <w:rFonts w:ascii="Garamond" w:hAnsi="Garamond"/>
          <w:color w:val="000000"/>
          <w:sz w:val="24"/>
          <w:szCs w:val="24"/>
        </w:rPr>
        <w:t xml:space="preserve"> the court held that pointing a gun at a nine year old while threatening to pull the trigger was objectively unreasonable.</w:t>
      </w:r>
      <w:bookmarkStart w:id="5" w:name="_ednref8"/>
      <w:r w:rsidR="00CF41DC" w:rsidRPr="006014C2">
        <w:rPr>
          <w:rFonts w:ascii="Garamond" w:hAnsi="Garamond"/>
          <w:color w:val="000000"/>
          <w:sz w:val="24"/>
          <w:szCs w:val="24"/>
        </w:rPr>
        <w:fldChar w:fldCharType="begin"/>
      </w:r>
      <w:r w:rsidR="00CF41DC" w:rsidRPr="006014C2">
        <w:rPr>
          <w:rFonts w:ascii="Garamond" w:hAnsi="Garamond"/>
          <w:color w:val="000000"/>
          <w:sz w:val="24"/>
          <w:szCs w:val="24"/>
        </w:rPr>
        <w:instrText xml:space="preserve"> HYPERLINK "http://www.llrmi.com/articles/legal_update/7th_pointing_gun.shtml" \l "_edn8" \o "" </w:instrText>
      </w:r>
      <w:r w:rsidR="00E622AE" w:rsidRPr="006014C2">
        <w:rPr>
          <w:rFonts w:ascii="Garamond" w:hAnsi="Garamond"/>
          <w:color w:val="000000"/>
          <w:sz w:val="24"/>
          <w:szCs w:val="24"/>
        </w:rPr>
      </w:r>
      <w:r w:rsidR="00CF41DC" w:rsidRPr="006014C2">
        <w:rPr>
          <w:rFonts w:ascii="Garamond" w:hAnsi="Garamond"/>
          <w:color w:val="000000"/>
          <w:sz w:val="24"/>
          <w:szCs w:val="24"/>
        </w:rPr>
        <w:fldChar w:fldCharType="separate"/>
      </w:r>
      <w:r w:rsidR="00CF41DC" w:rsidRPr="006014C2">
        <w:rPr>
          <w:rFonts w:ascii="Garamond" w:hAnsi="Garamond"/>
          <w:color w:val="0000FF"/>
          <w:sz w:val="24"/>
          <w:szCs w:val="24"/>
          <w:u w:val="single"/>
        </w:rPr>
        <w:t xml:space="preserve"> </w:t>
      </w:r>
      <w:r w:rsidR="00CF41DC" w:rsidRPr="006014C2">
        <w:rPr>
          <w:rFonts w:ascii="Garamond" w:hAnsi="Garamond"/>
          <w:color w:val="000000"/>
          <w:sz w:val="24"/>
          <w:szCs w:val="24"/>
        </w:rPr>
        <w:fldChar w:fldCharType="end"/>
      </w:r>
      <w:bookmarkEnd w:id="5"/>
      <w:r w:rsidR="00CF41DC" w:rsidRPr="006014C2">
        <w:rPr>
          <w:rFonts w:ascii="Garamond" w:hAnsi="Garamond"/>
          <w:color w:val="000000"/>
          <w:sz w:val="24"/>
          <w:szCs w:val="24"/>
        </w:rPr>
        <w:t>Lastly, the court cited numerous cases from other ci</w:t>
      </w:r>
      <w:bookmarkStart w:id="6" w:name="_ednref9"/>
      <w:r w:rsidR="00E622AE" w:rsidRPr="006014C2">
        <w:rPr>
          <w:rFonts w:ascii="Garamond" w:hAnsi="Garamond"/>
          <w:color w:val="000000"/>
          <w:sz w:val="24"/>
          <w:szCs w:val="24"/>
        </w:rPr>
        <w:t>rcuits that have held similarly</w:t>
      </w:r>
      <w:bookmarkEnd w:id="6"/>
      <w:r w:rsidR="00E622AE" w:rsidRPr="006014C2">
        <w:rPr>
          <w:rFonts w:ascii="Garamond" w:hAnsi="Garamond"/>
          <w:color w:val="000000"/>
          <w:sz w:val="24"/>
          <w:szCs w:val="24"/>
        </w:rPr>
        <w:t>.</w:t>
      </w:r>
      <w:r w:rsidR="00E622AE" w:rsidRPr="006014C2">
        <w:rPr>
          <w:rStyle w:val="FootnoteReference"/>
          <w:rFonts w:ascii="Garamond" w:hAnsi="Garamond"/>
          <w:color w:val="000000"/>
          <w:sz w:val="24"/>
          <w:szCs w:val="24"/>
        </w:rPr>
        <w:footnoteReference w:id="6"/>
      </w:r>
    </w:p>
    <w:p w:rsidR="004C6DCC" w:rsidRPr="006014C2" w:rsidRDefault="004C6DCC" w:rsidP="004C6DCC">
      <w:pPr>
        <w:spacing w:after="0" w:line="240" w:lineRule="auto"/>
        <w:rPr>
          <w:rFonts w:ascii="Garamond" w:hAnsi="Garamond"/>
          <w:color w:val="000000"/>
          <w:sz w:val="24"/>
          <w:szCs w:val="24"/>
        </w:rPr>
      </w:pPr>
      <w:r w:rsidRPr="006014C2">
        <w:rPr>
          <w:rFonts w:ascii="Garamond" w:hAnsi="Garamond"/>
          <w:color w:val="000000"/>
          <w:sz w:val="24"/>
          <w:szCs w:val="24"/>
        </w:rPr>
        <w:tab/>
      </w:r>
    </w:p>
    <w:p w:rsidR="00CF41DC" w:rsidRPr="006014C2" w:rsidRDefault="004C6DCC" w:rsidP="004C6DCC">
      <w:pPr>
        <w:spacing w:after="0" w:line="240" w:lineRule="auto"/>
        <w:rPr>
          <w:rFonts w:ascii="Garamond" w:hAnsi="Garamond"/>
          <w:b/>
          <w:color w:val="000000"/>
          <w:sz w:val="24"/>
          <w:szCs w:val="24"/>
        </w:rPr>
      </w:pPr>
      <w:r w:rsidRPr="006014C2">
        <w:rPr>
          <w:rFonts w:ascii="Garamond" w:hAnsi="Garamond"/>
          <w:color w:val="000000"/>
          <w:sz w:val="24"/>
          <w:szCs w:val="24"/>
        </w:rPr>
        <w:tab/>
      </w:r>
      <w:r w:rsidR="00CF41DC" w:rsidRPr="006014C2">
        <w:rPr>
          <w:rFonts w:ascii="Garamond" w:hAnsi="Garamond"/>
          <w:color w:val="000000"/>
          <w:sz w:val="24"/>
          <w:szCs w:val="24"/>
        </w:rPr>
        <w:t>The court also noted that, often, it is objectively reasonable for officers to point guns at subjects that they detain. The court stated: "</w:t>
      </w:r>
      <w:r w:rsidR="00CF41DC" w:rsidRPr="006014C2">
        <w:rPr>
          <w:rFonts w:ascii="Garamond" w:hAnsi="Garamond"/>
          <w:bCs/>
          <w:color w:val="000000"/>
          <w:sz w:val="24"/>
          <w:szCs w:val="24"/>
        </w:rPr>
        <w:t xml:space="preserve">while police are not entitled to point their guns at citizens when there is no hint of danger, they are allowed to do so when </w:t>
      </w:r>
      <w:bookmarkStart w:id="7" w:name="_ednref10"/>
      <w:r w:rsidR="009409D5" w:rsidRPr="006014C2">
        <w:rPr>
          <w:rFonts w:ascii="Garamond" w:hAnsi="Garamond"/>
          <w:bCs/>
          <w:color w:val="000000"/>
          <w:sz w:val="24"/>
          <w:szCs w:val="24"/>
        </w:rPr>
        <w:t>there is reason to fear danger.</w:t>
      </w:r>
      <w:bookmarkEnd w:id="7"/>
      <w:r w:rsidR="009409D5" w:rsidRPr="006014C2">
        <w:rPr>
          <w:rFonts w:ascii="Garamond" w:hAnsi="Garamond"/>
          <w:bCs/>
          <w:color w:val="0000FF"/>
          <w:sz w:val="24"/>
          <w:szCs w:val="24"/>
        </w:rPr>
        <w:t>”</w:t>
      </w:r>
      <w:r w:rsidR="009409D5" w:rsidRPr="006014C2">
        <w:rPr>
          <w:rStyle w:val="FootnoteReference"/>
          <w:rFonts w:ascii="Garamond" w:hAnsi="Garamond"/>
          <w:bCs/>
          <w:color w:val="0000FF"/>
          <w:sz w:val="24"/>
          <w:szCs w:val="24"/>
        </w:rPr>
        <w:footnoteReference w:id="7"/>
      </w:r>
      <w:r w:rsidRPr="006014C2">
        <w:rPr>
          <w:rFonts w:ascii="Garamond" w:hAnsi="Garamond"/>
          <w:color w:val="000000"/>
          <w:sz w:val="24"/>
          <w:szCs w:val="24"/>
        </w:rPr>
        <w:t xml:space="preserve"> </w:t>
      </w:r>
      <w:r w:rsidR="00CF41DC" w:rsidRPr="006014C2">
        <w:rPr>
          <w:rFonts w:ascii="Garamond" w:hAnsi="Garamond"/>
          <w:color w:val="000000"/>
          <w:sz w:val="24"/>
          <w:szCs w:val="24"/>
        </w:rPr>
        <w:t xml:space="preserve">For example, in </w:t>
      </w:r>
      <w:r w:rsidR="00CF41DC" w:rsidRPr="006014C2">
        <w:rPr>
          <w:rFonts w:ascii="Garamond" w:hAnsi="Garamond"/>
          <w:iCs/>
          <w:color w:val="000000"/>
          <w:sz w:val="24"/>
          <w:szCs w:val="24"/>
          <w:u w:val="single"/>
        </w:rPr>
        <w:t>Williams v. City of Champaign</w:t>
      </w:r>
      <w:r w:rsidR="00CF41DC" w:rsidRPr="006014C2">
        <w:rPr>
          <w:rFonts w:ascii="Garamond" w:hAnsi="Garamond"/>
          <w:color w:val="000000"/>
          <w:sz w:val="24"/>
          <w:szCs w:val="24"/>
        </w:rPr>
        <w:t>,</w:t>
      </w:r>
      <w:r w:rsidR="009409D5" w:rsidRPr="006014C2">
        <w:rPr>
          <w:rStyle w:val="FootnoteReference"/>
          <w:rFonts w:ascii="Garamond" w:hAnsi="Garamond"/>
          <w:color w:val="000000"/>
          <w:sz w:val="24"/>
          <w:szCs w:val="24"/>
        </w:rPr>
        <w:footnoteReference w:id="8"/>
      </w:r>
      <w:r w:rsidR="00CF41DC" w:rsidRPr="006014C2">
        <w:rPr>
          <w:rFonts w:ascii="Garamond" w:hAnsi="Garamond"/>
          <w:color w:val="000000"/>
          <w:sz w:val="24"/>
          <w:szCs w:val="24"/>
        </w:rPr>
        <w:t xml:space="preserve"> the court found it reasonable to point guns at someone whom they reasonably believed may have committed a double robbery moments before.</w:t>
      </w:r>
      <w:bookmarkStart w:id="8" w:name="_ednref11"/>
      <w:r w:rsidR="00CF41DC" w:rsidRPr="006014C2">
        <w:rPr>
          <w:rFonts w:ascii="Garamond" w:hAnsi="Garamond"/>
          <w:color w:val="000000"/>
          <w:sz w:val="24"/>
          <w:szCs w:val="24"/>
        </w:rPr>
        <w:fldChar w:fldCharType="begin"/>
      </w:r>
      <w:r w:rsidR="00CF41DC" w:rsidRPr="006014C2">
        <w:rPr>
          <w:rFonts w:ascii="Garamond" w:hAnsi="Garamond"/>
          <w:color w:val="000000"/>
          <w:sz w:val="24"/>
          <w:szCs w:val="24"/>
        </w:rPr>
        <w:instrText xml:space="preserve"> HYPERLINK "http://www.llrmi.com/articles/legal_update/7th_pointing_gun.shtml" \l "_edn11" \o "" </w:instrText>
      </w:r>
      <w:r w:rsidR="00E622AE" w:rsidRPr="006014C2">
        <w:rPr>
          <w:rFonts w:ascii="Garamond" w:hAnsi="Garamond"/>
          <w:color w:val="000000"/>
          <w:sz w:val="24"/>
          <w:szCs w:val="24"/>
        </w:rPr>
      </w:r>
      <w:r w:rsidR="00CF41DC" w:rsidRPr="006014C2">
        <w:rPr>
          <w:rFonts w:ascii="Garamond" w:hAnsi="Garamond"/>
          <w:color w:val="000000"/>
          <w:sz w:val="24"/>
          <w:szCs w:val="24"/>
        </w:rPr>
        <w:fldChar w:fldCharType="separate"/>
      </w:r>
      <w:r w:rsidR="00CF41DC" w:rsidRPr="006014C2">
        <w:rPr>
          <w:rFonts w:ascii="Garamond" w:hAnsi="Garamond"/>
          <w:color w:val="0000FF"/>
          <w:sz w:val="24"/>
          <w:szCs w:val="24"/>
        </w:rPr>
        <w:t xml:space="preserve"> </w:t>
      </w:r>
      <w:r w:rsidR="00CF41DC" w:rsidRPr="006014C2">
        <w:rPr>
          <w:rFonts w:ascii="Garamond" w:hAnsi="Garamond"/>
          <w:color w:val="000000"/>
          <w:sz w:val="24"/>
          <w:szCs w:val="24"/>
        </w:rPr>
        <w:fldChar w:fldCharType="end"/>
      </w:r>
      <w:bookmarkEnd w:id="8"/>
      <w:r w:rsidR="00CF41DC" w:rsidRPr="006014C2">
        <w:rPr>
          <w:rFonts w:ascii="Garamond" w:hAnsi="Garamond"/>
          <w:color w:val="000000"/>
          <w:sz w:val="24"/>
          <w:szCs w:val="24"/>
        </w:rPr>
        <w:t xml:space="preserve">Further, in </w:t>
      </w:r>
      <w:r w:rsidR="00CF41DC" w:rsidRPr="006014C2">
        <w:rPr>
          <w:rFonts w:ascii="Garamond" w:hAnsi="Garamond"/>
          <w:iCs/>
          <w:color w:val="000000"/>
          <w:sz w:val="24"/>
          <w:szCs w:val="24"/>
          <w:u w:val="single"/>
        </w:rPr>
        <w:t>L.A. County v. Rettele</w:t>
      </w:r>
      <w:r w:rsidR="00CF41DC" w:rsidRPr="006014C2">
        <w:rPr>
          <w:rFonts w:ascii="Garamond" w:hAnsi="Garamond"/>
          <w:color w:val="000000"/>
          <w:sz w:val="24"/>
          <w:szCs w:val="24"/>
        </w:rPr>
        <w:t>, the United States Supreme Court found it objectively reasonable to point guns and detain subjects suspected of a non-violent crime, but known to own a handgun</w:t>
      </w:r>
      <w:bookmarkStart w:id="9" w:name="_ednref12"/>
      <w:r w:rsidR="000F1B65" w:rsidRPr="006014C2">
        <w:rPr>
          <w:rFonts w:ascii="Garamond" w:hAnsi="Garamond"/>
          <w:color w:val="000000"/>
          <w:sz w:val="24"/>
          <w:szCs w:val="24"/>
        </w:rPr>
        <w:t>.</w:t>
      </w:r>
      <w:r w:rsidR="000F1B65" w:rsidRPr="006014C2">
        <w:rPr>
          <w:rStyle w:val="FootnoteReference"/>
          <w:rFonts w:ascii="Garamond" w:hAnsi="Garamond"/>
          <w:color w:val="000000"/>
          <w:sz w:val="24"/>
          <w:szCs w:val="24"/>
        </w:rPr>
        <w:footnoteReference w:id="9"/>
      </w:r>
      <w:hyperlink r:id="rId9" w:anchor="_edn12" w:tooltip="" w:history="1">
        <w:r w:rsidR="00CF41DC" w:rsidRPr="006014C2">
          <w:rPr>
            <w:rFonts w:ascii="Garamond" w:hAnsi="Garamond"/>
            <w:color w:val="000000"/>
            <w:sz w:val="24"/>
            <w:szCs w:val="24"/>
          </w:rPr>
          <w:t xml:space="preserve"> </w:t>
        </w:r>
      </w:hyperlink>
      <w:bookmarkEnd w:id="9"/>
      <w:r w:rsidR="00CF41DC" w:rsidRPr="006014C2">
        <w:rPr>
          <w:rFonts w:ascii="Garamond" w:hAnsi="Garamond"/>
          <w:color w:val="000000"/>
          <w:sz w:val="24"/>
          <w:szCs w:val="24"/>
        </w:rPr>
        <w:t xml:space="preserve">Additionally, in </w:t>
      </w:r>
      <w:r w:rsidR="00CF41DC" w:rsidRPr="006014C2">
        <w:rPr>
          <w:rFonts w:ascii="Garamond" w:hAnsi="Garamond"/>
          <w:iCs/>
          <w:color w:val="000000"/>
          <w:sz w:val="24"/>
          <w:szCs w:val="24"/>
          <w:u w:val="single"/>
        </w:rPr>
        <w:t>Muehler v. Mena</w:t>
      </w:r>
      <w:r w:rsidR="00CF41DC" w:rsidRPr="006014C2">
        <w:rPr>
          <w:rFonts w:ascii="Garamond" w:hAnsi="Garamond"/>
          <w:color w:val="000000"/>
          <w:sz w:val="24"/>
          <w:szCs w:val="24"/>
        </w:rPr>
        <w:t>,</w:t>
      </w:r>
      <w:r w:rsidR="000F1B65" w:rsidRPr="006014C2">
        <w:rPr>
          <w:rStyle w:val="FootnoteReference"/>
          <w:rFonts w:ascii="Garamond" w:hAnsi="Garamond"/>
          <w:color w:val="000000"/>
          <w:sz w:val="24"/>
          <w:szCs w:val="24"/>
        </w:rPr>
        <w:footnoteReference w:id="10"/>
      </w:r>
      <w:r w:rsidR="00CF41DC" w:rsidRPr="006014C2">
        <w:rPr>
          <w:rFonts w:ascii="Garamond" w:hAnsi="Garamond"/>
          <w:color w:val="000000"/>
          <w:sz w:val="24"/>
          <w:szCs w:val="24"/>
        </w:rPr>
        <w:t xml:space="preserve"> the United States Supreme Court held that it was </w:t>
      </w:r>
      <w:r w:rsidR="00CF41DC" w:rsidRPr="006014C2">
        <w:rPr>
          <w:rFonts w:ascii="Garamond" w:hAnsi="Garamond"/>
          <w:color w:val="000000"/>
          <w:sz w:val="24"/>
          <w:szCs w:val="24"/>
        </w:rPr>
        <w:lastRenderedPageBreak/>
        <w:t>reasonable to point guns at and detain people at a location of search warrant that concerned a drive-by shooting by gang members who were known to be armed.</w:t>
      </w:r>
      <w:bookmarkStart w:id="10" w:name="_ednref13"/>
      <w:r w:rsidR="00CF41DC" w:rsidRPr="006014C2">
        <w:rPr>
          <w:rFonts w:ascii="Garamond" w:hAnsi="Garamond"/>
          <w:color w:val="000000"/>
          <w:sz w:val="24"/>
          <w:szCs w:val="24"/>
        </w:rPr>
        <w:fldChar w:fldCharType="begin"/>
      </w:r>
      <w:r w:rsidR="00CF41DC" w:rsidRPr="006014C2">
        <w:rPr>
          <w:rFonts w:ascii="Garamond" w:hAnsi="Garamond"/>
          <w:color w:val="000000"/>
          <w:sz w:val="24"/>
          <w:szCs w:val="24"/>
        </w:rPr>
        <w:instrText xml:space="preserve"> HYPERLINK "http://www.llrmi.com/articles/legal_update/7th_pointing_gun.shtml" \l "_edn13" \o "" </w:instrText>
      </w:r>
      <w:r w:rsidR="00E622AE" w:rsidRPr="006014C2">
        <w:rPr>
          <w:rFonts w:ascii="Garamond" w:hAnsi="Garamond"/>
          <w:color w:val="000000"/>
          <w:sz w:val="24"/>
          <w:szCs w:val="24"/>
        </w:rPr>
      </w:r>
      <w:r w:rsidR="00CF41DC" w:rsidRPr="006014C2">
        <w:rPr>
          <w:rFonts w:ascii="Garamond" w:hAnsi="Garamond"/>
          <w:color w:val="000000"/>
          <w:sz w:val="24"/>
          <w:szCs w:val="24"/>
        </w:rPr>
        <w:fldChar w:fldCharType="separate"/>
      </w:r>
      <w:r w:rsidR="00CF41DC" w:rsidRPr="006014C2">
        <w:rPr>
          <w:rFonts w:ascii="Garamond" w:hAnsi="Garamond"/>
          <w:color w:val="0000FF"/>
          <w:sz w:val="24"/>
          <w:szCs w:val="24"/>
          <w:u w:val="single"/>
        </w:rPr>
        <w:t xml:space="preserve"> </w:t>
      </w:r>
      <w:r w:rsidR="00CF41DC" w:rsidRPr="006014C2">
        <w:rPr>
          <w:rFonts w:ascii="Garamond" w:hAnsi="Garamond"/>
          <w:color w:val="000000"/>
          <w:sz w:val="24"/>
          <w:szCs w:val="24"/>
        </w:rPr>
        <w:fldChar w:fldCharType="end"/>
      </w:r>
      <w:bookmarkEnd w:id="10"/>
      <w:r w:rsidR="00CF41DC" w:rsidRPr="006014C2">
        <w:rPr>
          <w:rFonts w:ascii="Garamond" w:hAnsi="Garamond"/>
          <w:color w:val="000000"/>
          <w:sz w:val="24"/>
          <w:szCs w:val="24"/>
        </w:rPr>
        <w:t>The court also noted precedent from other circuits that have held that pointing a gun when there is a reasonable belief of danger or violence to police was constitutionally permissible</w:t>
      </w:r>
      <w:r w:rsidR="00CF41DC" w:rsidRPr="006014C2">
        <w:rPr>
          <w:rFonts w:ascii="Garamond" w:hAnsi="Garamond"/>
          <w:b/>
          <w:color w:val="000000"/>
          <w:sz w:val="24"/>
          <w:szCs w:val="24"/>
        </w:rPr>
        <w:t>.</w:t>
      </w:r>
      <w:bookmarkStart w:id="11" w:name="_ednref14"/>
      <w:r w:rsidR="00CF41DC" w:rsidRPr="006014C2">
        <w:rPr>
          <w:rFonts w:ascii="Garamond" w:hAnsi="Garamond"/>
          <w:b/>
          <w:color w:val="000000"/>
          <w:sz w:val="24"/>
          <w:szCs w:val="24"/>
        </w:rPr>
        <w:fldChar w:fldCharType="begin"/>
      </w:r>
      <w:r w:rsidR="00CF41DC" w:rsidRPr="006014C2">
        <w:rPr>
          <w:rFonts w:ascii="Garamond" w:hAnsi="Garamond"/>
          <w:b/>
          <w:color w:val="000000"/>
          <w:sz w:val="24"/>
          <w:szCs w:val="24"/>
        </w:rPr>
        <w:instrText xml:space="preserve"> HYPERLINK "http://www.llrmi.com/articles/legal_update/7th_pointing_gun.shtml" \l "_edn14" \o "" </w:instrText>
      </w:r>
      <w:r w:rsidR="00E622AE" w:rsidRPr="006014C2">
        <w:rPr>
          <w:rFonts w:ascii="Garamond" w:hAnsi="Garamond"/>
          <w:b/>
          <w:color w:val="000000"/>
          <w:sz w:val="24"/>
          <w:szCs w:val="24"/>
        </w:rPr>
      </w:r>
      <w:r w:rsidR="00CF41DC" w:rsidRPr="006014C2">
        <w:rPr>
          <w:rFonts w:ascii="Garamond" w:hAnsi="Garamond"/>
          <w:b/>
          <w:color w:val="000000"/>
          <w:sz w:val="24"/>
          <w:szCs w:val="24"/>
        </w:rPr>
        <w:fldChar w:fldCharType="separate"/>
      </w:r>
      <w:r w:rsidR="00CF41DC" w:rsidRPr="006014C2">
        <w:rPr>
          <w:rFonts w:ascii="Garamond" w:hAnsi="Garamond"/>
          <w:b/>
          <w:color w:val="0000FF"/>
          <w:sz w:val="24"/>
          <w:szCs w:val="24"/>
        </w:rPr>
        <w:t xml:space="preserve"> </w:t>
      </w:r>
      <w:r w:rsidR="00CF41DC" w:rsidRPr="006014C2">
        <w:rPr>
          <w:rFonts w:ascii="Garamond" w:hAnsi="Garamond"/>
          <w:b/>
          <w:color w:val="000000"/>
          <w:sz w:val="24"/>
          <w:szCs w:val="24"/>
        </w:rPr>
        <w:fldChar w:fldCharType="end"/>
      </w:r>
      <w:bookmarkEnd w:id="11"/>
    </w:p>
    <w:p w:rsidR="004C6DCC" w:rsidRPr="006014C2" w:rsidRDefault="004C6DCC" w:rsidP="004C6DCC">
      <w:pPr>
        <w:spacing w:after="0" w:line="240" w:lineRule="auto"/>
        <w:rPr>
          <w:rFonts w:ascii="Garamond" w:hAnsi="Garamond"/>
          <w:color w:val="000000"/>
          <w:sz w:val="24"/>
          <w:szCs w:val="24"/>
        </w:rPr>
      </w:pPr>
    </w:p>
    <w:p w:rsidR="00CF41DC" w:rsidRPr="006014C2" w:rsidRDefault="004C6DCC" w:rsidP="004C6DCC">
      <w:pPr>
        <w:spacing w:after="0" w:line="240" w:lineRule="auto"/>
        <w:rPr>
          <w:rFonts w:ascii="Garamond" w:hAnsi="Garamond"/>
          <w:color w:val="000000"/>
          <w:sz w:val="24"/>
          <w:szCs w:val="24"/>
        </w:rPr>
      </w:pPr>
      <w:r w:rsidRPr="006014C2">
        <w:rPr>
          <w:rFonts w:ascii="Garamond" w:hAnsi="Garamond"/>
          <w:color w:val="000000"/>
          <w:sz w:val="24"/>
          <w:szCs w:val="24"/>
        </w:rPr>
        <w:tab/>
      </w:r>
      <w:r w:rsidR="00CF41DC" w:rsidRPr="006014C2">
        <w:rPr>
          <w:rFonts w:ascii="Garamond" w:hAnsi="Garamond"/>
          <w:color w:val="000000"/>
          <w:sz w:val="24"/>
          <w:szCs w:val="24"/>
        </w:rPr>
        <w:t xml:space="preserve">In light of the application of the factors in Graham to the facts of this case, and the body of case law based on facts similar to the </w:t>
      </w:r>
      <w:r w:rsidR="00CF41DC" w:rsidRPr="006014C2">
        <w:rPr>
          <w:rFonts w:ascii="Garamond" w:hAnsi="Garamond"/>
          <w:color w:val="000000"/>
          <w:sz w:val="24"/>
          <w:szCs w:val="24"/>
          <w:u w:val="single"/>
        </w:rPr>
        <w:t xml:space="preserve">Baird </w:t>
      </w:r>
      <w:r w:rsidR="00CF41DC" w:rsidRPr="006014C2">
        <w:rPr>
          <w:rFonts w:ascii="Garamond" w:hAnsi="Garamond"/>
          <w:color w:val="000000"/>
          <w:sz w:val="24"/>
          <w:szCs w:val="24"/>
        </w:rPr>
        <w:t>case, the Seventh Circuit Court of Appeals stated “</w:t>
      </w:r>
      <w:r w:rsidR="00CF41DC" w:rsidRPr="006014C2">
        <w:rPr>
          <w:rFonts w:ascii="Garamond" w:hAnsi="Garamond"/>
          <w:bCs/>
          <w:color w:val="000000"/>
          <w:sz w:val="24"/>
          <w:szCs w:val="24"/>
        </w:rPr>
        <w:t>pointing a gun at a compliant adult in a non-threatening situation, as in this case, can also constitute excessive force</w:t>
      </w:r>
      <w:bookmarkStart w:id="12" w:name="_ednref15"/>
      <w:r w:rsidRPr="006014C2">
        <w:rPr>
          <w:rFonts w:ascii="Garamond" w:hAnsi="Garamond"/>
          <w:color w:val="000000"/>
          <w:sz w:val="24"/>
          <w:szCs w:val="24"/>
        </w:rPr>
        <w:t>.”</w:t>
      </w:r>
      <w:r w:rsidRPr="006014C2">
        <w:rPr>
          <w:rStyle w:val="FootnoteReference"/>
          <w:rFonts w:ascii="Garamond" w:hAnsi="Garamond"/>
          <w:color w:val="000000"/>
          <w:sz w:val="24"/>
          <w:szCs w:val="24"/>
        </w:rPr>
        <w:footnoteReference w:id="11"/>
      </w:r>
      <w:r w:rsidR="00CF41DC" w:rsidRPr="006014C2">
        <w:rPr>
          <w:rFonts w:ascii="Garamond" w:hAnsi="Garamond"/>
          <w:color w:val="000000"/>
          <w:sz w:val="24"/>
          <w:szCs w:val="24"/>
        </w:rPr>
        <w:t xml:space="preserve"> </w:t>
      </w:r>
      <w:bookmarkEnd w:id="12"/>
      <w:r w:rsidR="00CF41DC" w:rsidRPr="006014C2">
        <w:rPr>
          <w:rFonts w:ascii="Garamond" w:hAnsi="Garamond"/>
          <w:color w:val="000000"/>
          <w:sz w:val="24"/>
          <w:szCs w:val="24"/>
        </w:rPr>
        <w:t xml:space="preserve">As such, Officer Renbarger was not entitled to qualified immunity. </w:t>
      </w:r>
    </w:p>
    <w:p w:rsidR="004C6DCC" w:rsidRPr="006014C2" w:rsidRDefault="004C6DCC" w:rsidP="00CF41DC">
      <w:pPr>
        <w:rPr>
          <w:rFonts w:ascii="Garamond" w:hAnsi="Garamond"/>
        </w:rPr>
      </w:pPr>
      <w:bookmarkStart w:id="13" w:name="_edn1"/>
      <w:bookmarkStart w:id="14" w:name="_edn14"/>
      <w:bookmarkEnd w:id="13"/>
      <w:bookmarkEnd w:id="14"/>
    </w:p>
    <w:sectPr w:rsidR="004C6DCC" w:rsidRPr="006014C2">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98" w:rsidRDefault="00CA2B98" w:rsidP="00CF41DC">
      <w:pPr>
        <w:spacing w:after="0" w:line="240" w:lineRule="auto"/>
      </w:pPr>
      <w:r>
        <w:separator/>
      </w:r>
    </w:p>
  </w:endnote>
  <w:endnote w:type="continuationSeparator" w:id="0">
    <w:p w:rsidR="00CA2B98" w:rsidRDefault="00CA2B98" w:rsidP="00CF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737" w:rsidRDefault="00CA3737">
    <w:pPr>
      <w:pStyle w:val="Footer"/>
      <w:jc w:val="center"/>
    </w:pPr>
    <w:r>
      <w:fldChar w:fldCharType="begin"/>
    </w:r>
    <w:r>
      <w:instrText xml:space="preserve"> PAGE   \* MERGEFORMAT </w:instrText>
    </w:r>
    <w:r>
      <w:fldChar w:fldCharType="separate"/>
    </w:r>
    <w:r w:rsidR="006014C2">
      <w:rPr>
        <w:noProof/>
      </w:rPr>
      <w:t>1</w:t>
    </w:r>
    <w:r>
      <w:fldChar w:fldCharType="end"/>
    </w:r>
  </w:p>
  <w:p w:rsidR="00CA3737" w:rsidRDefault="00CA3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98" w:rsidRDefault="00CA2B98" w:rsidP="00CF41DC">
      <w:pPr>
        <w:spacing w:after="0" w:line="240" w:lineRule="auto"/>
      </w:pPr>
      <w:r>
        <w:separator/>
      </w:r>
    </w:p>
  </w:footnote>
  <w:footnote w:type="continuationSeparator" w:id="0">
    <w:p w:rsidR="00CA2B98" w:rsidRDefault="00CA2B98" w:rsidP="00CF41DC">
      <w:pPr>
        <w:spacing w:after="0" w:line="240" w:lineRule="auto"/>
      </w:pPr>
      <w:r>
        <w:continuationSeparator/>
      </w:r>
    </w:p>
  </w:footnote>
  <w:footnote w:id="1">
    <w:p w:rsidR="004C6DCC" w:rsidRPr="004C6DCC" w:rsidRDefault="004C6DCC" w:rsidP="004C6DCC">
      <w:pPr>
        <w:spacing w:after="0" w:line="240" w:lineRule="auto"/>
        <w:rPr>
          <w:rFonts w:ascii="Times New Roman" w:hAnsi="Times New Roman"/>
          <w:b/>
          <w:bCs/>
          <w:color w:val="000000"/>
        </w:rPr>
      </w:pPr>
      <w:r w:rsidRPr="004C6DCC">
        <w:rPr>
          <w:rFonts w:ascii="Times New Roman" w:hAnsi="Times New Roman"/>
          <w:b/>
          <w:bCs/>
          <w:color w:val="000000"/>
        </w:rPr>
        <w:t>Footnotes:</w:t>
      </w:r>
    </w:p>
    <w:p w:rsidR="004C6DCC" w:rsidRDefault="004C6DCC" w:rsidP="006A14A1">
      <w:pPr>
        <w:pStyle w:val="FootnoteText"/>
        <w:spacing w:after="0" w:line="240" w:lineRule="auto"/>
      </w:pPr>
    </w:p>
    <w:p w:rsidR="00000000" w:rsidRDefault="00E622AE" w:rsidP="006A14A1">
      <w:pPr>
        <w:pStyle w:val="FootnoteText"/>
        <w:spacing w:after="0" w:line="240" w:lineRule="auto"/>
      </w:pPr>
      <w:r>
        <w:rPr>
          <w:rStyle w:val="FootnoteReference"/>
        </w:rPr>
        <w:footnoteRef/>
      </w:r>
      <w:r>
        <w:t xml:space="preserve"> </w:t>
      </w:r>
      <w:r w:rsidRPr="008D5B7B">
        <w:rPr>
          <w:rFonts w:ascii="Times New Roman" w:hAnsi="Times New Roman"/>
          <w:iCs/>
        </w:rPr>
        <w:t>Baird v. Renbarger</w:t>
      </w:r>
      <w:r>
        <w:rPr>
          <w:rFonts w:ascii="Times New Roman" w:hAnsi="Times New Roman"/>
          <w:iCs/>
        </w:rPr>
        <w:t>,</w:t>
      </w:r>
      <w:hyperlink r:id="rId1" w:anchor="_edn1" w:tooltip="" w:history="1">
        <w:r w:rsidRPr="008D5B7B">
          <w:rPr>
            <w:rFonts w:ascii="Times New Roman" w:hAnsi="Times New Roman"/>
          </w:rPr>
          <w:t xml:space="preserve"> </w:t>
        </w:r>
      </w:hyperlink>
      <w:r w:rsidRPr="008D5B7B">
        <w:rPr>
          <w:rFonts w:ascii="Times New Roman" w:hAnsi="Times New Roman"/>
        </w:rPr>
        <w:t>576 F. 3d 340 (7th Cir. 2009)</w:t>
      </w:r>
    </w:p>
  </w:footnote>
  <w:footnote w:id="2">
    <w:p w:rsidR="00000000" w:rsidRDefault="00E622AE" w:rsidP="006A14A1">
      <w:pPr>
        <w:spacing w:after="0" w:line="240" w:lineRule="auto"/>
      </w:pPr>
      <w:r>
        <w:rPr>
          <w:rStyle w:val="FootnoteReference"/>
        </w:rPr>
        <w:footnoteRef/>
      </w:r>
      <w:r>
        <w:t xml:space="preserve"> </w:t>
      </w:r>
      <w:r w:rsidRPr="008D5B7B">
        <w:rPr>
          <w:rFonts w:ascii="Times New Roman" w:hAnsi="Times New Roman"/>
          <w:iCs/>
          <w:sz w:val="20"/>
          <w:szCs w:val="20"/>
        </w:rPr>
        <w:t>Baird v. Renbarger</w:t>
      </w:r>
      <w:r>
        <w:rPr>
          <w:rFonts w:ascii="Times New Roman" w:hAnsi="Times New Roman"/>
          <w:iCs/>
          <w:sz w:val="20"/>
          <w:szCs w:val="20"/>
        </w:rPr>
        <w:t>,</w:t>
      </w:r>
      <w:hyperlink r:id="rId2" w:anchor="_edn1" w:tooltip="" w:history="1">
        <w:r w:rsidRPr="008D5B7B">
          <w:rPr>
            <w:rFonts w:ascii="Times New Roman" w:hAnsi="Times New Roman"/>
            <w:sz w:val="20"/>
            <w:szCs w:val="20"/>
          </w:rPr>
          <w:t xml:space="preserve"> </w:t>
        </w:r>
      </w:hyperlink>
      <w:r w:rsidRPr="008D5B7B">
        <w:rPr>
          <w:rFonts w:ascii="Times New Roman" w:hAnsi="Times New Roman"/>
          <w:sz w:val="20"/>
          <w:szCs w:val="20"/>
        </w:rPr>
        <w:t>576 F. 3d 340</w:t>
      </w:r>
      <w:r>
        <w:rPr>
          <w:rFonts w:ascii="Times New Roman" w:hAnsi="Times New Roman"/>
          <w:sz w:val="20"/>
          <w:szCs w:val="20"/>
        </w:rPr>
        <w:t>, 343</w:t>
      </w:r>
      <w:r w:rsidRPr="008D5B7B">
        <w:rPr>
          <w:rFonts w:ascii="Times New Roman" w:hAnsi="Times New Roman"/>
          <w:sz w:val="20"/>
          <w:szCs w:val="20"/>
        </w:rPr>
        <w:t xml:space="preserve"> (7th Cir. 2009)</w:t>
      </w:r>
    </w:p>
  </w:footnote>
  <w:footnote w:id="3">
    <w:p w:rsidR="00000000" w:rsidRDefault="00E622AE" w:rsidP="006A14A1">
      <w:pPr>
        <w:pStyle w:val="FootnoteText"/>
        <w:spacing w:after="0" w:line="240" w:lineRule="auto"/>
      </w:pPr>
      <w:r>
        <w:rPr>
          <w:rStyle w:val="FootnoteReference"/>
        </w:rPr>
        <w:footnoteRef/>
      </w:r>
      <w:r>
        <w:t xml:space="preserve"> </w:t>
      </w:r>
      <w:r w:rsidRPr="008D5B7B">
        <w:rPr>
          <w:rFonts w:ascii="Times New Roman" w:hAnsi="Times New Roman"/>
          <w:iCs/>
        </w:rPr>
        <w:t>Graham v. Connor</w:t>
      </w:r>
      <w:r w:rsidRPr="008D5B7B">
        <w:rPr>
          <w:rFonts w:ascii="Times New Roman" w:hAnsi="Times New Roman"/>
        </w:rPr>
        <w:t>. 490 U.S. 386 (1989)</w:t>
      </w:r>
    </w:p>
  </w:footnote>
  <w:footnote w:id="4">
    <w:p w:rsidR="00000000" w:rsidRDefault="00E622AE" w:rsidP="006A14A1">
      <w:pPr>
        <w:pStyle w:val="FootnoteText"/>
        <w:spacing w:after="0" w:line="240" w:lineRule="auto"/>
      </w:pPr>
      <w:r>
        <w:rPr>
          <w:rStyle w:val="FootnoteReference"/>
        </w:rPr>
        <w:footnoteRef/>
      </w:r>
      <w:r>
        <w:t xml:space="preserve"> </w:t>
      </w:r>
      <w:r w:rsidRPr="004C6DCC">
        <w:rPr>
          <w:rFonts w:ascii="Times New Roman" w:hAnsi="Times New Roman"/>
          <w:iCs/>
          <w:u w:val="single"/>
        </w:rPr>
        <w:t>Jacobs v. City of Chicago</w:t>
      </w:r>
      <w:r w:rsidRPr="008D5B7B">
        <w:rPr>
          <w:rFonts w:ascii="Times New Roman" w:hAnsi="Times New Roman"/>
        </w:rPr>
        <w:t xml:space="preserve"> 215 F. 3d 758 (7th Cir. 2000)</w:t>
      </w:r>
    </w:p>
  </w:footnote>
  <w:footnote w:id="5">
    <w:p w:rsidR="00000000" w:rsidRDefault="00E622AE" w:rsidP="004C6DCC">
      <w:pPr>
        <w:pStyle w:val="FootnoteText"/>
        <w:spacing w:after="0" w:line="240" w:lineRule="auto"/>
      </w:pPr>
      <w:r>
        <w:rPr>
          <w:rStyle w:val="FootnoteReference"/>
        </w:rPr>
        <w:footnoteRef/>
      </w:r>
      <w:r>
        <w:t xml:space="preserve"> </w:t>
      </w:r>
      <w:r w:rsidRPr="00E622AE">
        <w:rPr>
          <w:rFonts w:ascii="Times New Roman" w:hAnsi="Times New Roman"/>
          <w:iCs/>
          <w:color w:val="000000"/>
          <w:u w:val="single"/>
          <w:shd w:val="clear" w:color="auto" w:fill="FFFFFF"/>
        </w:rPr>
        <w:t>McDonald v. Haskins</w:t>
      </w:r>
      <w:r w:rsidRPr="008E15A5">
        <w:rPr>
          <w:rFonts w:ascii="Times New Roman" w:hAnsi="Times New Roman"/>
          <w:iCs/>
          <w:color w:val="000000"/>
          <w:shd w:val="clear" w:color="auto" w:fill="FFFFFF"/>
        </w:rPr>
        <w:t>,</w:t>
      </w:r>
      <w:r w:rsidRPr="0061467D">
        <w:rPr>
          <w:rFonts w:ascii="Times New Roman" w:hAnsi="Times New Roman"/>
          <w:color w:val="000000"/>
          <w:shd w:val="clear" w:color="auto" w:fill="FFFFFF"/>
        </w:rPr>
        <w:t> </w:t>
      </w:r>
      <w:r w:rsidRPr="008E15A5">
        <w:rPr>
          <w:rFonts w:ascii="Times New Roman" w:hAnsi="Times New Roman"/>
          <w:iCs/>
        </w:rPr>
        <w:t>966 F.2d 292, 294-95 (7th Cir.1992)</w:t>
      </w:r>
    </w:p>
  </w:footnote>
  <w:footnote w:id="6">
    <w:p w:rsidR="00000000" w:rsidRDefault="00E622AE" w:rsidP="009409D5">
      <w:pPr>
        <w:spacing w:after="0" w:line="240" w:lineRule="auto"/>
      </w:pPr>
      <w:r>
        <w:rPr>
          <w:rStyle w:val="FootnoteReference"/>
        </w:rPr>
        <w:footnoteRef/>
      </w:r>
      <w:r>
        <w:t xml:space="preserve"> </w:t>
      </w:r>
      <w:r w:rsidRPr="00E622AE">
        <w:rPr>
          <w:rFonts w:ascii="Times New Roman" w:hAnsi="Times New Roman"/>
          <w:iCs/>
          <w:sz w:val="20"/>
          <w:szCs w:val="20"/>
          <w:u w:val="single"/>
        </w:rPr>
        <w:t>Baird v. Renbarger</w:t>
      </w:r>
      <w:r w:rsidRPr="00E622AE">
        <w:rPr>
          <w:rFonts w:ascii="Times New Roman" w:hAnsi="Times New Roman"/>
          <w:iCs/>
          <w:sz w:val="20"/>
          <w:szCs w:val="20"/>
        </w:rPr>
        <w:t>,</w:t>
      </w:r>
      <w:hyperlink r:id="rId3" w:anchor="_edn1" w:tooltip="" w:history="1">
        <w:r w:rsidRPr="00E622AE">
          <w:rPr>
            <w:rFonts w:ascii="Times New Roman" w:hAnsi="Times New Roman"/>
            <w:sz w:val="20"/>
            <w:szCs w:val="20"/>
          </w:rPr>
          <w:t xml:space="preserve"> </w:t>
        </w:r>
      </w:hyperlink>
      <w:r w:rsidRPr="00E622AE">
        <w:rPr>
          <w:rFonts w:ascii="Times New Roman" w:hAnsi="Times New Roman"/>
          <w:sz w:val="20"/>
          <w:szCs w:val="20"/>
        </w:rPr>
        <w:t>576 F. 3d 340, 346 (7th Cir. 2009)</w:t>
      </w:r>
      <w:r w:rsidRPr="00E622AE">
        <w:rPr>
          <w:rFonts w:ascii="Times New Roman" w:hAnsi="Times New Roman"/>
          <w:i/>
          <w:iCs/>
          <w:color w:val="000000"/>
          <w:sz w:val="20"/>
          <w:szCs w:val="20"/>
        </w:rPr>
        <w:t xml:space="preserve"> </w:t>
      </w:r>
      <w:r w:rsidRPr="00E622AE">
        <w:rPr>
          <w:rFonts w:ascii="Times New Roman" w:hAnsi="Times New Roman"/>
          <w:color w:val="000000"/>
          <w:sz w:val="20"/>
          <w:szCs w:val="20"/>
        </w:rPr>
        <w:t xml:space="preserve">(citing other circuits have also held that pointing guns at persons who are compliant and present no danger is a constitutional violation. </w:t>
      </w:r>
      <w:r w:rsidRPr="00E622AE">
        <w:rPr>
          <w:rFonts w:ascii="Times New Roman" w:hAnsi="Times New Roman"/>
          <w:i/>
          <w:color w:val="000000"/>
          <w:sz w:val="20"/>
          <w:szCs w:val="20"/>
        </w:rPr>
        <w:t xml:space="preserve">See, </w:t>
      </w:r>
      <w:r w:rsidRPr="00E622AE">
        <w:rPr>
          <w:rFonts w:ascii="Times New Roman" w:hAnsi="Times New Roman"/>
          <w:i/>
          <w:iCs/>
          <w:color w:val="000000"/>
          <w:sz w:val="20"/>
          <w:szCs w:val="20"/>
        </w:rPr>
        <w:t xml:space="preserve">e.g., </w:t>
      </w:r>
      <w:r w:rsidRPr="00E622AE">
        <w:rPr>
          <w:rFonts w:ascii="Times New Roman" w:hAnsi="Times New Roman"/>
          <w:iCs/>
          <w:color w:val="000000"/>
          <w:sz w:val="20"/>
          <w:szCs w:val="20"/>
          <w:u w:val="single"/>
        </w:rPr>
        <w:t>Motley v. Parks</w:t>
      </w:r>
      <w:r w:rsidRPr="00E622AE">
        <w:rPr>
          <w:rFonts w:ascii="Times New Roman" w:hAnsi="Times New Roman"/>
          <w:color w:val="000000"/>
          <w:sz w:val="20"/>
          <w:szCs w:val="20"/>
          <w:u w:val="single"/>
        </w:rPr>
        <w:t>,</w:t>
      </w:r>
      <w:r w:rsidRPr="00E622AE">
        <w:rPr>
          <w:rFonts w:ascii="Times New Roman" w:hAnsi="Times New Roman"/>
          <w:color w:val="000000"/>
          <w:sz w:val="20"/>
          <w:szCs w:val="20"/>
        </w:rPr>
        <w:t xml:space="preserve"> 432 F.3d 1072, 1089 (9th Cir. 2005) (</w:t>
      </w:r>
      <w:r w:rsidRPr="00E622AE">
        <w:rPr>
          <w:rFonts w:ascii="Times New Roman" w:hAnsi="Times New Roman"/>
          <w:i/>
          <w:iCs/>
          <w:color w:val="000000"/>
          <w:sz w:val="20"/>
          <w:szCs w:val="20"/>
        </w:rPr>
        <w:t>en banc</w:t>
      </w:r>
      <w:r w:rsidRPr="00E622AE">
        <w:rPr>
          <w:rFonts w:ascii="Times New Roman" w:hAnsi="Times New Roman"/>
          <w:color w:val="000000"/>
          <w:sz w:val="20"/>
          <w:szCs w:val="20"/>
        </w:rPr>
        <w:t xml:space="preserve">) (holding an infant at gunpoint constitutes excessive force); </w:t>
      </w:r>
      <w:r w:rsidRPr="00E622AE">
        <w:rPr>
          <w:rFonts w:ascii="Times New Roman" w:hAnsi="Times New Roman"/>
          <w:iCs/>
          <w:color w:val="000000"/>
          <w:sz w:val="20"/>
          <w:szCs w:val="20"/>
          <w:u w:val="single"/>
        </w:rPr>
        <w:t>Robinson v. Solano County</w:t>
      </w:r>
      <w:r w:rsidRPr="00E622AE">
        <w:rPr>
          <w:rFonts w:ascii="Times New Roman" w:hAnsi="Times New Roman"/>
          <w:color w:val="000000"/>
          <w:sz w:val="20"/>
          <w:szCs w:val="20"/>
        </w:rPr>
        <w:t>, 278 F.3d 1007, 1015-16 (9th Cir. 2002) (</w:t>
      </w:r>
      <w:r w:rsidRPr="00E622AE">
        <w:rPr>
          <w:rFonts w:ascii="Times New Roman" w:hAnsi="Times New Roman"/>
          <w:i/>
          <w:iCs/>
          <w:color w:val="000000"/>
          <w:sz w:val="20"/>
          <w:szCs w:val="20"/>
        </w:rPr>
        <w:t>en banc</w:t>
      </w:r>
      <w:r w:rsidRPr="00E622AE">
        <w:rPr>
          <w:rFonts w:ascii="Times New Roman" w:hAnsi="Times New Roman"/>
          <w:color w:val="000000"/>
          <w:sz w:val="20"/>
          <w:szCs w:val="20"/>
        </w:rPr>
        <w:t xml:space="preserve">) (pointing a gun at an unarmed suspect who poses no danger constitutes excessive force); </w:t>
      </w:r>
      <w:r w:rsidRPr="00E622AE">
        <w:rPr>
          <w:rFonts w:ascii="Times New Roman" w:hAnsi="Times New Roman"/>
          <w:iCs/>
          <w:color w:val="000000"/>
          <w:sz w:val="20"/>
          <w:szCs w:val="20"/>
          <w:u w:val="single"/>
        </w:rPr>
        <w:t>Holland v. Harrington</w:t>
      </w:r>
      <w:r w:rsidRPr="00E622AE">
        <w:rPr>
          <w:rFonts w:ascii="Times New Roman" w:hAnsi="Times New Roman"/>
          <w:color w:val="000000"/>
          <w:sz w:val="20"/>
          <w:szCs w:val="20"/>
        </w:rPr>
        <w:t xml:space="preserve">, 268 F.3d 1179, 1192-93 (10th Cir. 2001) (holding children at gunpoint after the officers had gained complete control of the situation "was not justified under the circumstances"); </w:t>
      </w:r>
      <w:r w:rsidRPr="00E622AE">
        <w:rPr>
          <w:rFonts w:ascii="Times New Roman" w:hAnsi="Times New Roman"/>
          <w:iCs/>
          <w:color w:val="000000"/>
          <w:sz w:val="20"/>
          <w:szCs w:val="20"/>
          <w:u w:val="single"/>
        </w:rPr>
        <w:t>Baker v. Monroe Township</w:t>
      </w:r>
      <w:r w:rsidRPr="00E622AE">
        <w:rPr>
          <w:rFonts w:ascii="Times New Roman" w:hAnsi="Times New Roman"/>
          <w:color w:val="000000"/>
          <w:sz w:val="20"/>
          <w:szCs w:val="20"/>
          <w:u w:val="single"/>
        </w:rPr>
        <w:t>,</w:t>
      </w:r>
      <w:r w:rsidRPr="00E622AE">
        <w:rPr>
          <w:rFonts w:ascii="Times New Roman" w:hAnsi="Times New Roman"/>
          <w:color w:val="000000"/>
          <w:sz w:val="20"/>
          <w:szCs w:val="20"/>
        </w:rPr>
        <w:t xml:space="preserve"> 50 F.3d 1186, 1193-94 (3d Cir. 1995) (detention at gunpoint violated the Fourth Amendment as there was "simply no evidence of anything that should have caused the officers to use the kind of force they are alleged to have used"). We note that these cases so often involve children because they are much less likely to present the police with a credible threat. In other words, the unreasonableness of the gun-pointing is more apparent in these cases, though pointing a gun at a compliant adult in a non-threatening situation, as in this case, can also constitute excessive force.</w:t>
      </w:r>
    </w:p>
  </w:footnote>
  <w:footnote w:id="7">
    <w:p w:rsidR="00000000" w:rsidRDefault="009409D5" w:rsidP="000F1B65">
      <w:pPr>
        <w:pStyle w:val="FootnoteText"/>
        <w:spacing w:after="0" w:line="240" w:lineRule="auto"/>
      </w:pPr>
      <w:r>
        <w:rPr>
          <w:rStyle w:val="FootnoteReference"/>
        </w:rPr>
        <w:footnoteRef/>
      </w:r>
      <w:r>
        <w:t xml:space="preserve"> </w:t>
      </w:r>
      <w:r w:rsidRPr="00E622AE">
        <w:rPr>
          <w:rFonts w:ascii="Times New Roman" w:hAnsi="Times New Roman"/>
          <w:iCs/>
          <w:u w:val="single"/>
        </w:rPr>
        <w:t>Baird v. Renbarger</w:t>
      </w:r>
      <w:r w:rsidRPr="00E622AE">
        <w:rPr>
          <w:rFonts w:ascii="Times New Roman" w:hAnsi="Times New Roman"/>
          <w:iCs/>
        </w:rPr>
        <w:t>,</w:t>
      </w:r>
      <w:hyperlink r:id="rId4" w:anchor="_edn1" w:tooltip="" w:history="1">
        <w:r w:rsidRPr="00E622AE">
          <w:rPr>
            <w:rFonts w:ascii="Times New Roman" w:hAnsi="Times New Roman"/>
          </w:rPr>
          <w:t xml:space="preserve"> </w:t>
        </w:r>
      </w:hyperlink>
      <w:r w:rsidRPr="00E622AE">
        <w:rPr>
          <w:rFonts w:ascii="Times New Roman" w:hAnsi="Times New Roman"/>
        </w:rPr>
        <w:t>576 F. 3d 340, 346 (7th Cir. 2009)</w:t>
      </w:r>
      <w:r>
        <w:rPr>
          <w:rFonts w:ascii="Times New Roman" w:hAnsi="Times New Roman"/>
        </w:rPr>
        <w:t>.</w:t>
      </w:r>
    </w:p>
  </w:footnote>
  <w:footnote w:id="8">
    <w:p w:rsidR="00000000" w:rsidRDefault="009409D5" w:rsidP="000F1B65">
      <w:pPr>
        <w:pStyle w:val="FootnoteText"/>
        <w:spacing w:after="0" w:line="240" w:lineRule="auto"/>
      </w:pPr>
      <w:r>
        <w:rPr>
          <w:rStyle w:val="FootnoteReference"/>
        </w:rPr>
        <w:footnoteRef/>
      </w:r>
      <w:r>
        <w:t xml:space="preserve"> </w:t>
      </w:r>
      <w:r w:rsidRPr="009409D5">
        <w:rPr>
          <w:rFonts w:ascii="Times New Roman" w:hAnsi="Times New Roman"/>
          <w:color w:val="000000"/>
          <w:u w:val="single"/>
          <w:shd w:val="clear" w:color="auto" w:fill="FFFFFF"/>
        </w:rPr>
        <w:t>Williams v. City of Champaign</w:t>
      </w:r>
      <w:r w:rsidRPr="00774D43">
        <w:rPr>
          <w:rFonts w:ascii="Times New Roman" w:hAnsi="Times New Roman"/>
          <w:color w:val="000000"/>
          <w:shd w:val="clear" w:color="auto" w:fill="FFFFFF"/>
        </w:rPr>
        <w:t>,</w:t>
      </w:r>
      <w:r w:rsidRPr="009F1310">
        <w:rPr>
          <w:rFonts w:ascii="Times New Roman" w:hAnsi="Times New Roman"/>
          <w:color w:val="000000"/>
          <w:shd w:val="clear" w:color="auto" w:fill="FFFFFF"/>
        </w:rPr>
        <w:t> </w:t>
      </w:r>
      <w:r w:rsidRPr="00774D43">
        <w:rPr>
          <w:rFonts w:ascii="Times New Roman" w:hAnsi="Times New Roman"/>
          <w:color w:val="000000"/>
          <w:shd w:val="clear" w:color="auto" w:fill="FFFFFF"/>
        </w:rPr>
        <w:t>524 F.3d 826</w:t>
      </w:r>
      <w:r w:rsidRPr="009F1310">
        <w:rPr>
          <w:rFonts w:ascii="Times New Roman" w:hAnsi="Times New Roman"/>
          <w:color w:val="000000"/>
          <w:shd w:val="clear" w:color="auto" w:fill="FFFFFF"/>
        </w:rPr>
        <w:t>, 827-29 (7th Cir.2008)</w:t>
      </w:r>
      <w:r>
        <w:rPr>
          <w:rFonts w:ascii="Times New Roman" w:hAnsi="Times New Roman"/>
          <w:color w:val="000000"/>
          <w:shd w:val="clear" w:color="auto" w:fill="FFFFFF"/>
        </w:rPr>
        <w:t>.</w:t>
      </w:r>
    </w:p>
  </w:footnote>
  <w:footnote w:id="9">
    <w:p w:rsidR="00000000" w:rsidRDefault="000F1B65" w:rsidP="000F1B65">
      <w:pPr>
        <w:pStyle w:val="FootnoteText"/>
        <w:spacing w:after="0" w:line="240" w:lineRule="auto"/>
      </w:pPr>
      <w:r>
        <w:rPr>
          <w:rStyle w:val="FootnoteReference"/>
        </w:rPr>
        <w:footnoteRef/>
      </w:r>
      <w:r>
        <w:t xml:space="preserve"> </w:t>
      </w:r>
      <w:r w:rsidRPr="000F1B65">
        <w:rPr>
          <w:rFonts w:ascii="Times New Roman" w:hAnsi="Times New Roman"/>
          <w:iCs/>
          <w:u w:val="single"/>
        </w:rPr>
        <w:t>L.A. County v. Rettele</w:t>
      </w:r>
      <w:r w:rsidRPr="00EA26F1">
        <w:rPr>
          <w:rFonts w:ascii="Times New Roman" w:hAnsi="Times New Roman"/>
          <w:iCs/>
        </w:rPr>
        <w:t xml:space="preserve">, </w:t>
      </w:r>
      <w:r w:rsidRPr="00EA26F1">
        <w:rPr>
          <w:rFonts w:ascii="Times New Roman" w:hAnsi="Times New Roman"/>
        </w:rPr>
        <w:t>550 U.S. 609 (2007)</w:t>
      </w:r>
      <w:r>
        <w:rPr>
          <w:rFonts w:ascii="Times New Roman" w:hAnsi="Times New Roman"/>
        </w:rPr>
        <w:t>.</w:t>
      </w:r>
    </w:p>
  </w:footnote>
  <w:footnote w:id="10">
    <w:p w:rsidR="00000000" w:rsidRDefault="000F1B65" w:rsidP="000F1B65">
      <w:pPr>
        <w:pStyle w:val="FootnoteText"/>
        <w:spacing w:after="0" w:line="240" w:lineRule="auto"/>
      </w:pPr>
      <w:r>
        <w:rPr>
          <w:rStyle w:val="FootnoteReference"/>
        </w:rPr>
        <w:footnoteRef/>
      </w:r>
      <w:r>
        <w:t xml:space="preserve"> </w:t>
      </w:r>
      <w:r w:rsidRPr="000F1B65">
        <w:rPr>
          <w:rFonts w:ascii="Times New Roman" w:hAnsi="Times New Roman"/>
          <w:iCs/>
          <w:u w:val="single"/>
        </w:rPr>
        <w:t>Muehler v. Mena</w:t>
      </w:r>
      <w:r w:rsidRPr="009F1310">
        <w:rPr>
          <w:rFonts w:ascii="Times New Roman" w:hAnsi="Times New Roman"/>
        </w:rPr>
        <w:t>, 544 U.S. 93, 98-99 (2005)</w:t>
      </w:r>
      <w:r>
        <w:rPr>
          <w:rFonts w:ascii="Times New Roman" w:hAnsi="Times New Roman"/>
        </w:rPr>
        <w:t>.</w:t>
      </w:r>
    </w:p>
  </w:footnote>
  <w:footnote w:id="11">
    <w:p w:rsidR="00000000" w:rsidRDefault="004C6DCC">
      <w:pPr>
        <w:pStyle w:val="FootnoteText"/>
      </w:pPr>
      <w:r>
        <w:rPr>
          <w:rStyle w:val="FootnoteReference"/>
        </w:rPr>
        <w:footnoteRef/>
      </w:r>
      <w:r>
        <w:t xml:space="preserve"> </w:t>
      </w:r>
      <w:r w:rsidRPr="00E622AE">
        <w:rPr>
          <w:rFonts w:ascii="Times New Roman" w:hAnsi="Times New Roman"/>
          <w:iCs/>
          <w:u w:val="single"/>
        </w:rPr>
        <w:t>Baird v. Renbarger</w:t>
      </w:r>
      <w:r w:rsidRPr="00E622AE">
        <w:rPr>
          <w:rFonts w:ascii="Times New Roman" w:hAnsi="Times New Roman"/>
          <w:iCs/>
        </w:rPr>
        <w:t>,</w:t>
      </w:r>
      <w:hyperlink r:id="rId5" w:anchor="_edn1" w:tooltip="" w:history="1">
        <w:r w:rsidRPr="00E622AE">
          <w:rPr>
            <w:rFonts w:ascii="Times New Roman" w:hAnsi="Times New Roman"/>
          </w:rPr>
          <w:t xml:space="preserve"> </w:t>
        </w:r>
      </w:hyperlink>
      <w:r w:rsidRPr="00E622AE">
        <w:rPr>
          <w:rFonts w:ascii="Times New Roman" w:hAnsi="Times New Roman"/>
        </w:rPr>
        <w:t>576 F. 3d 340, 346 (7th Cir. 2009)</w:t>
      </w:r>
      <w:r w:rsidRPr="004C6DCC">
        <w:rPr>
          <w:rFonts w:ascii="Times New Roman" w:hAnsi="Times New Roman"/>
          <w:spacing w:val="-1"/>
          <w:w w:val="90"/>
        </w:rPr>
        <w:t xml:space="preserve"> </w:t>
      </w:r>
      <w:r w:rsidRPr="004C6DCC">
        <w:rPr>
          <w:rFonts w:ascii="Times New Roman" w:hAnsi="Times New Roman"/>
        </w:rPr>
        <w:t>(citing see, e.g., Aponte Matos v. Toledo Davila, 135 F.3d 182, 191-92 (1st Cir. 1998) (individual attempted to enter house that was being searched for weapons); Sharrar v. Felsing, 128 F.3d 810, 822 (3d Cir. 1997) (suspect [**15] was believed to have a handgun); Edwards v. Giles, 51 F.3d 155, 156-57 (8th Cir. 1995) (suspect fled police); Courson v. McMillian, 939 F.2d 1479, 1496 (11th Cir. 1991) (drug crime suspects outnumbered police officer, were intoxicated, and one was verbally aggressive); Collins v. Nagle, 892 F.2d 489, 495-97 (6th Cir. 1989) (individual approached scene in which officers were dealing with uncooperative suspects).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4"/>
      <w:numFmt w:val="lowerRoman"/>
      <w:lvlText w:val="%1"/>
      <w:lvlJc w:val="left"/>
      <w:pPr>
        <w:ind w:hanging="150"/>
      </w:pPr>
      <w:rPr>
        <w:rFonts w:ascii="Arial" w:hAnsi="Arial" w:cs="Arial"/>
        <w:b w:val="0"/>
        <w:bCs w:val="0"/>
        <w:spacing w:val="10"/>
        <w:w w:val="103"/>
        <w:position w:val="10"/>
        <w:sz w:val="13"/>
        <w:szCs w:val="1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3"/>
      <w:numFmt w:val="lowerRoman"/>
      <w:lvlText w:val="%1"/>
      <w:lvlJc w:val="left"/>
      <w:pPr>
        <w:ind w:hanging="230"/>
      </w:pPr>
      <w:rPr>
        <w:rFonts w:ascii="Arial" w:hAnsi="Arial" w:cs="Arial"/>
        <w:b w:val="0"/>
        <w:bCs w:val="0"/>
        <w:spacing w:val="3"/>
        <w:w w:val="86"/>
        <w:position w:val="10"/>
        <w:sz w:val="13"/>
        <w:szCs w:val="1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53214DD3"/>
    <w:multiLevelType w:val="multilevel"/>
    <w:tmpl w:val="9FF0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DC"/>
    <w:rsid w:val="0001194D"/>
    <w:rsid w:val="000F1B65"/>
    <w:rsid w:val="0044749E"/>
    <w:rsid w:val="004C6DCC"/>
    <w:rsid w:val="006014C2"/>
    <w:rsid w:val="00611911"/>
    <w:rsid w:val="0061467D"/>
    <w:rsid w:val="006A14A1"/>
    <w:rsid w:val="00774D43"/>
    <w:rsid w:val="008D5B7B"/>
    <w:rsid w:val="008E15A5"/>
    <w:rsid w:val="009409D5"/>
    <w:rsid w:val="009F1310"/>
    <w:rsid w:val="00A121A3"/>
    <w:rsid w:val="00CA2B98"/>
    <w:rsid w:val="00CA3737"/>
    <w:rsid w:val="00CF41DC"/>
    <w:rsid w:val="00E0107F"/>
    <w:rsid w:val="00E622AE"/>
    <w:rsid w:val="00EA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1DC"/>
    <w:pPr>
      <w:tabs>
        <w:tab w:val="center" w:pos="4680"/>
        <w:tab w:val="right" w:pos="9360"/>
      </w:tabs>
    </w:pPr>
  </w:style>
  <w:style w:type="character" w:customStyle="1" w:styleId="HeaderChar">
    <w:name w:val="Header Char"/>
    <w:basedOn w:val="DefaultParagraphFont"/>
    <w:link w:val="Header"/>
    <w:uiPriority w:val="99"/>
    <w:locked/>
    <w:rsid w:val="00CF41DC"/>
    <w:rPr>
      <w:rFonts w:cs="Times New Roman"/>
    </w:rPr>
  </w:style>
  <w:style w:type="paragraph" w:styleId="Footer">
    <w:name w:val="footer"/>
    <w:basedOn w:val="Normal"/>
    <w:link w:val="FooterChar"/>
    <w:uiPriority w:val="99"/>
    <w:unhideWhenUsed/>
    <w:rsid w:val="00CF41DC"/>
    <w:pPr>
      <w:tabs>
        <w:tab w:val="center" w:pos="4680"/>
        <w:tab w:val="right" w:pos="9360"/>
      </w:tabs>
    </w:pPr>
  </w:style>
  <w:style w:type="character" w:customStyle="1" w:styleId="FooterChar">
    <w:name w:val="Footer Char"/>
    <w:basedOn w:val="DefaultParagraphFont"/>
    <w:link w:val="Footer"/>
    <w:uiPriority w:val="99"/>
    <w:locked/>
    <w:rsid w:val="00CF41DC"/>
    <w:rPr>
      <w:rFonts w:cs="Times New Roman"/>
    </w:rPr>
  </w:style>
  <w:style w:type="paragraph" w:styleId="BodyText">
    <w:name w:val="Body Text"/>
    <w:basedOn w:val="Normal"/>
    <w:link w:val="BodyTextChar"/>
    <w:uiPriority w:val="1"/>
    <w:qFormat/>
    <w:rsid w:val="00CA3737"/>
    <w:pPr>
      <w:autoSpaceDE w:val="0"/>
      <w:autoSpaceDN w:val="0"/>
      <w:adjustRightInd w:val="0"/>
      <w:spacing w:after="0" w:line="240" w:lineRule="auto"/>
      <w:ind w:left="120"/>
    </w:pPr>
    <w:rPr>
      <w:rFonts w:ascii="Arial" w:hAnsi="Arial" w:cs="Arial"/>
      <w:sz w:val="20"/>
      <w:szCs w:val="20"/>
    </w:rPr>
  </w:style>
  <w:style w:type="character" w:customStyle="1" w:styleId="BodyTextChar">
    <w:name w:val="Body Text Char"/>
    <w:basedOn w:val="DefaultParagraphFont"/>
    <w:link w:val="BodyText"/>
    <w:uiPriority w:val="1"/>
    <w:locked/>
    <w:rsid w:val="00CA3737"/>
    <w:rPr>
      <w:rFonts w:ascii="Arial" w:hAnsi="Arial" w:cs="Arial"/>
      <w:sz w:val="20"/>
      <w:szCs w:val="20"/>
    </w:rPr>
  </w:style>
  <w:style w:type="paragraph" w:styleId="ListParagraph">
    <w:name w:val="List Paragraph"/>
    <w:basedOn w:val="Normal"/>
    <w:uiPriority w:val="1"/>
    <w:qFormat/>
    <w:rsid w:val="00CA3737"/>
    <w:pPr>
      <w:autoSpaceDE w:val="0"/>
      <w:autoSpaceDN w:val="0"/>
      <w:adjustRightInd w:val="0"/>
      <w:spacing w:after="0" w:line="240" w:lineRule="auto"/>
    </w:pPr>
    <w:rPr>
      <w:rFonts w:ascii="Times New Roman" w:hAnsi="Times New Roman"/>
      <w:sz w:val="24"/>
      <w:szCs w:val="24"/>
    </w:rPr>
  </w:style>
  <w:style w:type="paragraph" w:customStyle="1" w:styleId="TableParagraph">
    <w:name w:val="Table Paragraph"/>
    <w:basedOn w:val="Normal"/>
    <w:uiPriority w:val="1"/>
    <w:qFormat/>
    <w:rsid w:val="00CA3737"/>
    <w:pPr>
      <w:autoSpaceDE w:val="0"/>
      <w:autoSpaceDN w:val="0"/>
      <w:adjustRightInd w:val="0"/>
      <w:spacing w:after="0"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E622AE"/>
    <w:rPr>
      <w:sz w:val="20"/>
      <w:szCs w:val="20"/>
    </w:rPr>
  </w:style>
  <w:style w:type="character" w:customStyle="1" w:styleId="FootnoteTextChar">
    <w:name w:val="Footnote Text Char"/>
    <w:basedOn w:val="DefaultParagraphFont"/>
    <w:link w:val="FootnoteText"/>
    <w:uiPriority w:val="99"/>
    <w:semiHidden/>
    <w:locked/>
    <w:rsid w:val="00E622AE"/>
    <w:rPr>
      <w:rFonts w:cs="Times New Roman"/>
      <w:sz w:val="20"/>
      <w:szCs w:val="20"/>
    </w:rPr>
  </w:style>
  <w:style w:type="character" w:styleId="FootnoteReference">
    <w:name w:val="footnote reference"/>
    <w:basedOn w:val="DefaultParagraphFont"/>
    <w:uiPriority w:val="99"/>
    <w:semiHidden/>
    <w:unhideWhenUsed/>
    <w:rsid w:val="00E622A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1DC"/>
    <w:pPr>
      <w:tabs>
        <w:tab w:val="center" w:pos="4680"/>
        <w:tab w:val="right" w:pos="9360"/>
      </w:tabs>
    </w:pPr>
  </w:style>
  <w:style w:type="character" w:customStyle="1" w:styleId="HeaderChar">
    <w:name w:val="Header Char"/>
    <w:basedOn w:val="DefaultParagraphFont"/>
    <w:link w:val="Header"/>
    <w:uiPriority w:val="99"/>
    <w:locked/>
    <w:rsid w:val="00CF41DC"/>
    <w:rPr>
      <w:rFonts w:cs="Times New Roman"/>
    </w:rPr>
  </w:style>
  <w:style w:type="paragraph" w:styleId="Footer">
    <w:name w:val="footer"/>
    <w:basedOn w:val="Normal"/>
    <w:link w:val="FooterChar"/>
    <w:uiPriority w:val="99"/>
    <w:unhideWhenUsed/>
    <w:rsid w:val="00CF41DC"/>
    <w:pPr>
      <w:tabs>
        <w:tab w:val="center" w:pos="4680"/>
        <w:tab w:val="right" w:pos="9360"/>
      </w:tabs>
    </w:pPr>
  </w:style>
  <w:style w:type="character" w:customStyle="1" w:styleId="FooterChar">
    <w:name w:val="Footer Char"/>
    <w:basedOn w:val="DefaultParagraphFont"/>
    <w:link w:val="Footer"/>
    <w:uiPriority w:val="99"/>
    <w:locked/>
    <w:rsid w:val="00CF41DC"/>
    <w:rPr>
      <w:rFonts w:cs="Times New Roman"/>
    </w:rPr>
  </w:style>
  <w:style w:type="paragraph" w:styleId="BodyText">
    <w:name w:val="Body Text"/>
    <w:basedOn w:val="Normal"/>
    <w:link w:val="BodyTextChar"/>
    <w:uiPriority w:val="1"/>
    <w:qFormat/>
    <w:rsid w:val="00CA3737"/>
    <w:pPr>
      <w:autoSpaceDE w:val="0"/>
      <w:autoSpaceDN w:val="0"/>
      <w:adjustRightInd w:val="0"/>
      <w:spacing w:after="0" w:line="240" w:lineRule="auto"/>
      <w:ind w:left="120"/>
    </w:pPr>
    <w:rPr>
      <w:rFonts w:ascii="Arial" w:hAnsi="Arial" w:cs="Arial"/>
      <w:sz w:val="20"/>
      <w:szCs w:val="20"/>
    </w:rPr>
  </w:style>
  <w:style w:type="character" w:customStyle="1" w:styleId="BodyTextChar">
    <w:name w:val="Body Text Char"/>
    <w:basedOn w:val="DefaultParagraphFont"/>
    <w:link w:val="BodyText"/>
    <w:uiPriority w:val="1"/>
    <w:locked/>
    <w:rsid w:val="00CA3737"/>
    <w:rPr>
      <w:rFonts w:ascii="Arial" w:hAnsi="Arial" w:cs="Arial"/>
      <w:sz w:val="20"/>
      <w:szCs w:val="20"/>
    </w:rPr>
  </w:style>
  <w:style w:type="paragraph" w:styleId="ListParagraph">
    <w:name w:val="List Paragraph"/>
    <w:basedOn w:val="Normal"/>
    <w:uiPriority w:val="1"/>
    <w:qFormat/>
    <w:rsid w:val="00CA3737"/>
    <w:pPr>
      <w:autoSpaceDE w:val="0"/>
      <w:autoSpaceDN w:val="0"/>
      <w:adjustRightInd w:val="0"/>
      <w:spacing w:after="0" w:line="240" w:lineRule="auto"/>
    </w:pPr>
    <w:rPr>
      <w:rFonts w:ascii="Times New Roman" w:hAnsi="Times New Roman"/>
      <w:sz w:val="24"/>
      <w:szCs w:val="24"/>
    </w:rPr>
  </w:style>
  <w:style w:type="paragraph" w:customStyle="1" w:styleId="TableParagraph">
    <w:name w:val="Table Paragraph"/>
    <w:basedOn w:val="Normal"/>
    <w:uiPriority w:val="1"/>
    <w:qFormat/>
    <w:rsid w:val="00CA3737"/>
    <w:pPr>
      <w:autoSpaceDE w:val="0"/>
      <w:autoSpaceDN w:val="0"/>
      <w:adjustRightInd w:val="0"/>
      <w:spacing w:after="0"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E622AE"/>
    <w:rPr>
      <w:sz w:val="20"/>
      <w:szCs w:val="20"/>
    </w:rPr>
  </w:style>
  <w:style w:type="character" w:customStyle="1" w:styleId="FootnoteTextChar">
    <w:name w:val="Footnote Text Char"/>
    <w:basedOn w:val="DefaultParagraphFont"/>
    <w:link w:val="FootnoteText"/>
    <w:uiPriority w:val="99"/>
    <w:semiHidden/>
    <w:locked/>
    <w:rsid w:val="00E622AE"/>
    <w:rPr>
      <w:rFonts w:cs="Times New Roman"/>
      <w:sz w:val="20"/>
      <w:szCs w:val="20"/>
    </w:rPr>
  </w:style>
  <w:style w:type="character" w:styleId="FootnoteReference">
    <w:name w:val="footnote reference"/>
    <w:basedOn w:val="DefaultParagraphFont"/>
    <w:uiPriority w:val="99"/>
    <w:semiHidden/>
    <w:unhideWhenUsed/>
    <w:rsid w:val="00E622A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lrmi.com/articles/legal_update/7th_pointing_gun.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lrmi.com/articles/legal_update/7th_pointing_gun.shtml" TargetMode="External"/><Relationship Id="rId2" Type="http://schemas.openxmlformats.org/officeDocument/2006/relationships/hyperlink" Target="http://www.llrmi.com/articles/legal_update/7th_pointing_gun.shtml" TargetMode="External"/><Relationship Id="rId1" Type="http://schemas.openxmlformats.org/officeDocument/2006/relationships/hyperlink" Target="http://www.llrmi.com/articles/legal_update/7th_pointing_gun.shtml" TargetMode="External"/><Relationship Id="rId5" Type="http://schemas.openxmlformats.org/officeDocument/2006/relationships/hyperlink" Target="http://www.llrmi.com/articles/legal_update/7th_pointing_gun.shtml" TargetMode="External"/><Relationship Id="rId4" Type="http://schemas.openxmlformats.org/officeDocument/2006/relationships/hyperlink" Target="http://www.llrmi.com/articles/legal_update/7th_pointing_gu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0E2B-AE85-4976-ACCB-B7C504E5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2013-09-25T14:52:00Z</dcterms:created>
  <dcterms:modified xsi:type="dcterms:W3CDTF">2013-09-25T14:52:00Z</dcterms:modified>
</cp:coreProperties>
</file>